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4, 2026</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PATHFINDER BANCORP, INC.</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Commission File Number: </w:t>
      </w:r>
      <w:r>
        <w:rPr>
          <w:rFonts w:ascii="Times New Roman" w:cs="Times New Roman" w:eastAsia="Times New Roman" w:hAnsi="Times New Roman"/>
          <w:sz w:val="18"/>
          <w:szCs w:val="18"/>
          <w:b w:val="1"/>
          <w:bCs w:val="1"/>
          <w:u w:val="single" w:color="auto"/>
          <w:color w:val="auto"/>
        </w:rPr>
        <w:t>001-36695</w:t>
      </w:r>
    </w:p>
    <w:p>
      <w:pPr>
        <w:spacing w:after="0" w:line="216" w:lineRule="exact"/>
        <w:rPr>
          <w:sz w:val="24"/>
          <w:szCs w:val="24"/>
          <w:color w:val="auto"/>
        </w:rPr>
      </w:pPr>
    </w:p>
    <w:tbl>
      <w:tblPr>
        <w:tblLayout w:type="fixed"/>
        <w:tblInd w:w="620" w:type="dxa"/>
        <w:tblCellMar>
          <w:top w:w="0" w:type="dxa"/>
          <w:left w:w="0" w:type="dxa"/>
          <w:bottom w:w="0" w:type="dxa"/>
          <w:right w:w="0" w:type="dxa"/>
        </w:tblCellMar>
      </w:tblPr>
      <w:tr>
        <w:trPr>
          <w:trHeight w:val="207"/>
        </w:trPr>
        <w:tc>
          <w:tcPr>
            <w:tcW w:w="1840" w:type="dxa"/>
            <w:vAlign w:val="bottom"/>
          </w:tcPr>
          <w:p>
            <w:pPr>
              <w:spacing w:after="0"/>
              <w:rPr>
                <w:sz w:val="17"/>
                <w:szCs w:val="17"/>
                <w:color w:val="auto"/>
              </w:rPr>
            </w:pPr>
          </w:p>
        </w:tc>
        <w:tc>
          <w:tcPr>
            <w:tcW w:w="3540" w:type="dxa"/>
            <w:vAlign w:val="bottom"/>
            <w:gridSpan w:val="2"/>
          </w:tcPr>
          <w:p>
            <w:pPr>
              <w:jc w:val="center"/>
              <w:ind w:right="2840"/>
              <w:spacing w:after="0"/>
              <w:rPr>
                <w:sz w:val="20"/>
                <w:szCs w:val="20"/>
                <w:color w:val="auto"/>
              </w:rPr>
            </w:pPr>
            <w:r>
              <w:rPr>
                <w:rFonts w:ascii="Times New Roman" w:cs="Times New Roman" w:eastAsia="Times New Roman" w:hAnsi="Times New Roman"/>
                <w:sz w:val="18"/>
                <w:szCs w:val="18"/>
                <w:color w:val="auto"/>
                <w:w w:val="99"/>
              </w:rPr>
              <w:t>Maryland</w:t>
            </w:r>
          </w:p>
        </w:tc>
        <w:tc>
          <w:tcPr>
            <w:tcW w:w="3900" w:type="dxa"/>
            <w:vAlign w:val="bottom"/>
            <w:gridSpan w:val="3"/>
          </w:tcPr>
          <w:p>
            <w:pPr>
              <w:jc w:val="right"/>
              <w:ind w:right="1040"/>
              <w:spacing w:after="0"/>
              <w:rPr>
                <w:sz w:val="20"/>
                <w:szCs w:val="20"/>
                <w:color w:val="auto"/>
              </w:rPr>
            </w:pPr>
            <w:r>
              <w:rPr>
                <w:rFonts w:ascii="Times New Roman" w:cs="Times New Roman" w:eastAsia="Times New Roman" w:hAnsi="Times New Roman"/>
                <w:sz w:val="18"/>
                <w:szCs w:val="18"/>
                <w:color w:val="auto"/>
              </w:rPr>
              <w:t>38-3941859</w:t>
            </w:r>
          </w:p>
        </w:tc>
      </w:tr>
      <w:tr>
        <w:trPr>
          <w:trHeight w:val="20"/>
        </w:trPr>
        <w:tc>
          <w:tcPr>
            <w:tcW w:w="18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37"/>
        </w:trPr>
        <w:tc>
          <w:tcPr>
            <w:tcW w:w="5380" w:type="dxa"/>
            <w:vAlign w:val="bottom"/>
            <w:gridSpan w:val="3"/>
          </w:tcPr>
          <w:p>
            <w:pPr>
              <w:jc w:val="center"/>
              <w:ind w:right="98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3900" w:type="dxa"/>
            <w:vAlign w:val="bottom"/>
            <w:gridSpan w:val="3"/>
          </w:tcPr>
          <w:p>
            <w:pPr>
              <w:jc w:val="center"/>
              <w:ind w:left="870"/>
              <w:spacing w:after="0"/>
              <w:rPr>
                <w:sz w:val="20"/>
                <w:szCs w:val="20"/>
                <w:color w:val="auto"/>
              </w:rPr>
            </w:pPr>
            <w:r>
              <w:rPr>
                <w:rFonts w:ascii="Times New Roman" w:cs="Times New Roman" w:eastAsia="Times New Roman" w:hAnsi="Times New Roman"/>
                <w:sz w:val="18"/>
                <w:szCs w:val="18"/>
                <w:color w:val="auto"/>
                <w:w w:val="99"/>
              </w:rPr>
              <w:t>(I.R.S. Employer Identification Number)</w:t>
            </w:r>
          </w:p>
        </w:tc>
      </w:tr>
    </w:tbl>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214 West First Street, Oswego, NY 13126</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 (Zip Code)</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(315) 343-0057</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(Issuer's Telephone Number including area code)</w:t>
      </w:r>
    </w:p>
    <w:p>
      <w:pPr>
        <w:spacing w:after="0" w:line="20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580" w:hanging="363"/>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580" w:hanging="363"/>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240.14d-2(b))</w:t>
      </w:r>
    </w:p>
    <w:p>
      <w:pPr>
        <w:spacing w:after="0" w:line="9" w:lineRule="exact"/>
        <w:rPr>
          <w:rFonts w:ascii="MS PGothic" w:cs="MS PGothic" w:eastAsia="MS PGothic" w:hAnsi="MS PGothic"/>
          <w:sz w:val="18"/>
          <w:szCs w:val="18"/>
          <w:color w:val="auto"/>
        </w:rPr>
      </w:pPr>
    </w:p>
    <w:p>
      <w:pPr>
        <w:ind w:left="580" w:hanging="363"/>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580" w:hanging="363"/>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40" w:type="dxa"/>
            <w:vAlign w:val="bottom"/>
          </w:tcPr>
          <w:p>
            <w:pPr>
              <w:spacing w:after="0"/>
              <w:rPr>
                <w:sz w:val="20"/>
                <w:szCs w:val="20"/>
                <w:color w:val="auto"/>
              </w:rPr>
            </w:pPr>
          </w:p>
        </w:tc>
      </w:tr>
      <w:tr>
        <w:trPr>
          <w:trHeight w:val="439"/>
        </w:trPr>
        <w:tc>
          <w:tcPr>
            <w:tcW w:w="4300" w:type="dxa"/>
            <w:vAlign w:val="bottom"/>
            <w:gridSpan w:val="3"/>
          </w:tcPr>
          <w:p>
            <w:pPr>
              <w:jc w:val="center"/>
              <w:ind w:right="48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90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200" w:type="dxa"/>
            <w:vAlign w:val="bottom"/>
          </w:tcPr>
          <w:p>
            <w:pPr>
              <w:spacing w:after="0"/>
              <w:rPr>
                <w:sz w:val="24"/>
                <w:szCs w:val="24"/>
                <w:color w:val="auto"/>
              </w:rPr>
            </w:pPr>
          </w:p>
        </w:tc>
        <w:tc>
          <w:tcPr>
            <w:tcW w:w="4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34"/>
        </w:trPr>
        <w:tc>
          <w:tcPr>
            <w:tcW w:w="38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$0.01 par value</w:t>
            </w:r>
          </w:p>
        </w:tc>
        <w:tc>
          <w:tcPr>
            <w:tcW w:w="24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900" w:type="dxa"/>
            <w:vAlign w:val="bottom"/>
            <w:tcBorders>
              <w:top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color w:val="auto"/>
                <w:w w:val="97"/>
              </w:rPr>
              <w:t>PBHC</w:t>
            </w:r>
          </w:p>
        </w:tc>
        <w:tc>
          <w:tcPr>
            <w:tcW w:w="200" w:type="dxa"/>
            <w:vAlign w:val="bottom"/>
          </w:tcPr>
          <w:p>
            <w:pPr>
              <w:spacing w:after="0"/>
              <w:rPr>
                <w:sz w:val="20"/>
                <w:szCs w:val="20"/>
                <w:color w:val="auto"/>
              </w:rPr>
            </w:pPr>
          </w:p>
        </w:tc>
        <w:tc>
          <w:tcPr>
            <w:tcW w:w="48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179" w:lineRule="exact"/>
        <w:rPr>
          <w:sz w:val="24"/>
          <w:szCs w:val="24"/>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23"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9" w:lineRule="exact"/>
        <w:rPr>
          <w:sz w:val="20"/>
          <w:szCs w:val="20"/>
          <w:color w:val="auto"/>
        </w:rPr>
      </w:pPr>
    </w:p>
    <w:p>
      <w:pPr>
        <w:jc w:val="both"/>
        <w:ind w:firstLine="613"/>
        <w:spacing w:after="0" w:line="258" w:lineRule="auto"/>
        <w:rPr>
          <w:sz w:val="20"/>
          <w:szCs w:val="20"/>
          <w:color w:val="auto"/>
        </w:rPr>
      </w:pPr>
      <w:r>
        <w:rPr>
          <w:rFonts w:ascii="Times New Roman" w:cs="Times New Roman" w:eastAsia="Times New Roman" w:hAnsi="Times New Roman"/>
          <w:sz w:val="18"/>
          <w:szCs w:val="18"/>
          <w:color w:val="auto"/>
        </w:rPr>
        <w:t>On May 8, 2019, Pathfinder Bancorp, Inc. (the “Company”) entered into a Securities Purchase Agreement with Castle Creek Capital Partners VII, L.P. (“Castle Creek”), pursuant to which the Company sold Castle Creek certain securities of the Company in a private placement. In connection with the private placement, the Company entered into a registration rights agreement with Castle Creek, also dated as of May 8, 2019 (the “Registration Rights Agreement”). Pursuant to the terms of the Registration Rights Agreement, the Company agreed to file a resale registration statement by no later than May 8, 2023 to register the resale of the securities.</w:t>
      </w:r>
    </w:p>
    <w:p>
      <w:pPr>
        <w:spacing w:after="0" w:line="183"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8"/>
          <w:szCs w:val="18"/>
          <w:color w:val="auto"/>
        </w:rPr>
        <w:t>Beginning in 2023 and continuing during each of the next two years, the Company and Castle Creek agreed to amend the Registration Rights Agreement to allow the Company an additional year to file a resale registration statement to register the resale of the securities with the most recent extension expiring on May 8, 2026.</w:t>
      </w:r>
    </w:p>
    <w:p>
      <w:pPr>
        <w:spacing w:after="0" w:line="176"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8"/>
          <w:szCs w:val="18"/>
          <w:color w:val="auto"/>
        </w:rPr>
        <w:t>On May 4, 2026, the Company and Castle Creek agreed to amend the Registration Rights Agreement to allow the Company to file a resale registration statement by no later than May 8, 2027 to register the resale of the securities.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Fourth Amendment to the Registration Rights Agreement does not purport to be complete and is qualified in its entirety by the full text of the Fourth Amendment to the Registration Rights Agreement attached as Exhibit 10.1 hereto.</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 Financial Statements and Exhibits</w:t>
      </w:r>
    </w:p>
    <w:p>
      <w:pPr>
        <w:spacing w:after="0" w:line="229" w:lineRule="exact"/>
        <w:rPr>
          <w:sz w:val="20"/>
          <w:szCs w:val="20"/>
          <w:color w:val="auto"/>
        </w:rPr>
      </w:pPr>
    </w:p>
    <w:p>
      <w:pPr>
        <w:ind w:left="1080" w:hanging="847"/>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 of businesses acquired. None.</w:t>
      </w:r>
    </w:p>
    <w:p>
      <w:pPr>
        <w:spacing w:after="0" w:line="225" w:lineRule="exact"/>
        <w:rPr>
          <w:rFonts w:ascii="Times New Roman" w:cs="Times New Roman" w:eastAsia="Times New Roman" w:hAnsi="Times New Roman"/>
          <w:sz w:val="18"/>
          <w:szCs w:val="18"/>
          <w:color w:val="auto"/>
        </w:rPr>
      </w:pPr>
    </w:p>
    <w:p>
      <w:pPr>
        <w:ind w:left="1100" w:hanging="867"/>
        <w:spacing w:after="0"/>
        <w:tabs>
          <w:tab w:leader="none" w:pos="11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 forma financial information. None.</w:t>
      </w:r>
    </w:p>
    <w:p>
      <w:pPr>
        <w:spacing w:after="0" w:line="225" w:lineRule="exact"/>
        <w:rPr>
          <w:rFonts w:ascii="Times New Roman" w:cs="Times New Roman" w:eastAsia="Times New Roman" w:hAnsi="Times New Roman"/>
          <w:sz w:val="18"/>
          <w:szCs w:val="18"/>
          <w:color w:val="auto"/>
        </w:rPr>
      </w:pPr>
    </w:p>
    <w:p>
      <w:pPr>
        <w:ind w:left="1080" w:hanging="847"/>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Shell company transactions: None.</w:t>
      </w:r>
    </w:p>
    <w:p>
      <w:pPr>
        <w:spacing w:after="0" w:line="225" w:lineRule="exact"/>
        <w:rPr>
          <w:rFonts w:ascii="Times New Roman" w:cs="Times New Roman" w:eastAsia="Times New Roman" w:hAnsi="Times New Roman"/>
          <w:sz w:val="18"/>
          <w:szCs w:val="18"/>
          <w:color w:val="auto"/>
        </w:rPr>
      </w:pPr>
    </w:p>
    <w:p>
      <w:pPr>
        <w:ind w:left="1100" w:hanging="867"/>
        <w:spacing w:after="0"/>
        <w:tabs>
          <w:tab w:leader="none" w:pos="11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25" w:lineRule="exact"/>
        <w:rPr>
          <w:sz w:val="20"/>
          <w:szCs w:val="20"/>
          <w:color w:val="auto"/>
        </w:rPr>
      </w:pPr>
    </w:p>
    <w:p>
      <w:pPr>
        <w:ind w:left="660"/>
        <w:spacing w:after="0"/>
        <w:tabs>
          <w:tab w:leader="none" w:pos="1140" w:val="left"/>
        </w:tabs>
        <w:rPr>
          <w:sz w:val="20"/>
          <w:szCs w:val="20"/>
          <w:color w:val="auto"/>
        </w:rPr>
      </w:pPr>
      <w:r>
        <w:rPr>
          <w:rFonts w:ascii="Times New Roman" w:cs="Times New Roman" w:eastAsia="Times New Roman" w:hAnsi="Times New Roman"/>
          <w:sz w:val="18"/>
          <w:szCs w:val="18"/>
          <w:u w:val="single" w:color="auto"/>
          <w:color w:val="0000EE"/>
        </w:rPr>
        <w:t>10.1</w:t>
      </w:r>
      <w:r>
        <w:rPr>
          <w:sz w:val="20"/>
          <w:szCs w:val="20"/>
          <w:color w:val="auto"/>
        </w:rPr>
        <w:tab/>
      </w:r>
      <w:r>
        <w:rPr>
          <w:rFonts w:ascii="Times New Roman" w:cs="Times New Roman" w:eastAsia="Times New Roman" w:hAnsi="Times New Roman"/>
          <w:sz w:val="18"/>
          <w:szCs w:val="18"/>
          <w:color w:val="0000EE"/>
        </w:rPr>
        <w:t>Fourth Amendment to the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-7620</wp:posOffset>
            </wp:positionV>
            <wp:extent cx="27190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719070" cy="8890"/>
                    </a:xfrm>
                    <a:prstGeom prst="rect">
                      <a:avLst/>
                    </a:prstGeom>
                    <a:noFill/>
                  </pic:spPr>
                </pic:pic>
              </a:graphicData>
            </a:graphic>
          </wp:anchor>
        </w:drawing>
      </w:r>
    </w:p>
    <w:p>
      <w:pPr>
        <w:spacing w:after="0" w:line="205" w:lineRule="exact"/>
        <w:rPr>
          <w:sz w:val="20"/>
          <w:szCs w:val="20"/>
          <w:color w:val="auto"/>
        </w:rPr>
      </w:pPr>
    </w:p>
    <w:p>
      <w:pPr>
        <w:ind w:left="660"/>
        <w:spacing w:after="0"/>
        <w:tabs>
          <w:tab w:leader="none" w:pos="1140" w:val="left"/>
        </w:tabs>
        <w:rPr>
          <w:sz w:val="20"/>
          <w:szCs w:val="20"/>
          <w:color w:val="auto"/>
        </w:rPr>
      </w:pPr>
      <w:r>
        <w:rPr>
          <w:rFonts w:ascii="Times New Roman" w:cs="Times New Roman" w:eastAsia="Times New Roman" w:hAnsi="Times New Roman"/>
          <w:sz w:val="18"/>
          <w:szCs w:val="18"/>
          <w:color w:val="auto"/>
        </w:rPr>
        <w:t>104</w:t>
        <w:tab/>
        <w:t>Cover Page Interactive Data File (embedded in the cover page formatted in Inline XBRL)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403225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80" w:type="dxa"/>
            <w:vAlign w:val="bottom"/>
          </w:tcPr>
          <w:p>
            <w:pPr>
              <w:spacing w:after="0"/>
              <w:rPr>
                <w:sz w:val="20"/>
                <w:szCs w:val="20"/>
                <w:color w:val="auto"/>
              </w:rPr>
            </w:pPr>
          </w:p>
        </w:tc>
        <w:tc>
          <w:tcPr>
            <w:tcW w:w="5160" w:type="dxa"/>
            <w:vAlign w:val="bottom"/>
            <w:gridSpan w:val="3"/>
          </w:tcPr>
          <w:p>
            <w:pPr>
              <w:ind w:left="2420"/>
              <w:spacing w:after="0"/>
              <w:rPr>
                <w:sz w:val="20"/>
                <w:szCs w:val="20"/>
                <w:color w:val="auto"/>
              </w:rPr>
            </w:pPr>
            <w:r>
              <w:rPr>
                <w:rFonts w:ascii="Times New Roman" w:cs="Times New Roman" w:eastAsia="Times New Roman" w:hAnsi="Times New Roman"/>
                <w:sz w:val="18"/>
                <w:szCs w:val="18"/>
                <w:b w:val="1"/>
                <w:bCs w:val="1"/>
                <w:color w:val="auto"/>
              </w:rPr>
              <w:t>PATHFINDER BANCORP, INC.</w:t>
            </w:r>
          </w:p>
        </w:tc>
      </w:tr>
      <w:tr>
        <w:trPr>
          <w:trHeight w:val="391"/>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Date:  May 7, 2026</w:t>
            </w:r>
          </w:p>
        </w:tc>
        <w:tc>
          <w:tcPr>
            <w:tcW w:w="5160" w:type="dxa"/>
            <w:vAlign w:val="bottom"/>
            <w:gridSpan w:val="3"/>
          </w:tcPr>
          <w:p>
            <w:pPr>
              <w:ind w:left="2060"/>
              <w:spacing w:after="0"/>
              <w:rPr>
                <w:sz w:val="20"/>
                <w:szCs w:val="20"/>
                <w:color w:val="auto"/>
              </w:rPr>
            </w:pPr>
            <w:r>
              <w:rPr>
                <w:rFonts w:ascii="Times New Roman" w:cs="Times New Roman" w:eastAsia="Times New Roman" w:hAnsi="Times New Roman"/>
                <w:sz w:val="18"/>
                <w:szCs w:val="18"/>
                <w:color w:val="auto"/>
              </w:rPr>
              <w:t>By:  /s/ James A. Dowd</w:t>
            </w:r>
          </w:p>
        </w:tc>
      </w:tr>
      <w:tr>
        <w:trPr>
          <w:trHeight w:val="20"/>
        </w:trPr>
        <w:tc>
          <w:tcPr>
            <w:tcW w:w="35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18"/>
        </w:trPr>
        <w:tc>
          <w:tcPr>
            <w:tcW w:w="3580" w:type="dxa"/>
            <w:vAlign w:val="bottom"/>
          </w:tcPr>
          <w:p>
            <w:pPr>
              <w:spacing w:after="0"/>
              <w:rPr>
                <w:sz w:val="18"/>
                <w:szCs w:val="18"/>
                <w:color w:val="auto"/>
              </w:rPr>
            </w:pPr>
          </w:p>
        </w:tc>
        <w:tc>
          <w:tcPr>
            <w:tcW w:w="5160" w:type="dxa"/>
            <w:vAlign w:val="bottom"/>
            <w:gridSpan w:val="3"/>
          </w:tcPr>
          <w:p>
            <w:pPr>
              <w:ind w:left="2420"/>
              <w:spacing w:after="0"/>
              <w:rPr>
                <w:sz w:val="20"/>
                <w:szCs w:val="20"/>
                <w:color w:val="auto"/>
              </w:rPr>
            </w:pPr>
            <w:r>
              <w:rPr>
                <w:rFonts w:ascii="Times New Roman" w:cs="Times New Roman" w:eastAsia="Times New Roman" w:hAnsi="Times New Roman"/>
                <w:sz w:val="18"/>
                <w:szCs w:val="18"/>
                <w:color w:val="auto"/>
              </w:rPr>
              <w:t>James A. Dowd</w:t>
            </w:r>
          </w:p>
        </w:tc>
      </w:tr>
      <w:tr>
        <w:trPr>
          <w:trHeight w:val="234"/>
        </w:trPr>
        <w:tc>
          <w:tcPr>
            <w:tcW w:w="3580" w:type="dxa"/>
            <w:vAlign w:val="bottom"/>
          </w:tcPr>
          <w:p>
            <w:pPr>
              <w:spacing w:after="0"/>
              <w:rPr>
                <w:sz w:val="20"/>
                <w:szCs w:val="20"/>
                <w:color w:val="auto"/>
              </w:rPr>
            </w:pPr>
          </w:p>
        </w:tc>
        <w:tc>
          <w:tcPr>
            <w:tcW w:w="5160" w:type="dxa"/>
            <w:vAlign w:val="bottom"/>
            <w:gridSpan w:val="3"/>
          </w:tcPr>
          <w:p>
            <w:pPr>
              <w:ind w:left="2420"/>
              <w:spacing w:after="0"/>
              <w:rPr>
                <w:sz w:val="20"/>
                <w:szCs w:val="20"/>
                <w:color w:val="auto"/>
              </w:rPr>
            </w:pPr>
            <w:r>
              <w:rPr>
                <w:rFonts w:ascii="Times New Roman" w:cs="Times New Roman" w:eastAsia="Times New Roman" w:hAnsi="Times New Roman"/>
                <w:sz w:val="18"/>
                <w:szCs w:val="18"/>
                <w:color w:val="auto"/>
                <w:w w:val="98"/>
              </w:rPr>
              <w:t>President and Chief Executive Officer</w:t>
            </w:r>
          </w:p>
        </w:tc>
      </w:tr>
    </w:tbl>
    <w:p>
      <w:pPr>
        <w:sectPr>
          <w:pgSz w:w="11900" w:h="16838" w:orient="portrait"/>
          <w:cols w:equalWidth="0" w:num="1">
            <w:col w:w="11240"/>
          </w:cols>
          <w:pgMar w:left="320" w:top="117"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FOURTH AMENDMENT TO THE REGISTRATION RIGHTS AGREEMENT</w:t>
      </w:r>
    </w:p>
    <w:p>
      <w:pPr>
        <w:spacing w:after="0" w:line="210"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THIS FOURTH AMENDMENT TO THE REGISTRATION RIGHTS AGREEMENT, dated as of May 4, 2026 (the “</w:t>
      </w: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by and between Pathfinder Bancorp, Inc., a Maryland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and Castle Creek Capital Partners VII, LP (“</w:t>
      </w:r>
      <w:r>
        <w:rPr>
          <w:rFonts w:ascii="Times New Roman" w:cs="Times New Roman" w:eastAsia="Times New Roman" w:hAnsi="Times New Roman"/>
          <w:sz w:val="22"/>
          <w:szCs w:val="22"/>
          <w:u w:val="single" w:color="auto"/>
          <w:color w:val="auto"/>
        </w:rPr>
        <w:t>Castle Creek</w:t>
      </w:r>
      <w:r>
        <w:rPr>
          <w:rFonts w:ascii="Times New Roman" w:cs="Times New Roman" w:eastAsia="Times New Roman" w:hAnsi="Times New Roman"/>
          <w:sz w:val="22"/>
          <w:szCs w:val="22"/>
          <w:color w:val="auto"/>
        </w:rPr>
        <w:t>”). Each of the capitalized terms contained in this Amendment, but not specifically defined in this Amendment, shall have the meanings ascribed to such terms in the Agreement as defined below.</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RECITALS</w:t>
      </w:r>
    </w:p>
    <w:p>
      <w:pPr>
        <w:spacing w:after="0" w:line="210" w:lineRule="exact"/>
        <w:rPr>
          <w:sz w:val="20"/>
          <w:szCs w:val="20"/>
          <w:color w:val="auto"/>
        </w:rPr>
      </w:pPr>
    </w:p>
    <w:p>
      <w:pPr>
        <w:jc w:val="both"/>
        <w:ind w:right="20" w:firstLine="324"/>
        <w:spacing w:after="0" w:line="258" w:lineRule="auto"/>
        <w:rPr>
          <w:sz w:val="20"/>
          <w:szCs w:val="20"/>
          <w:color w:val="auto"/>
        </w:rPr>
      </w:pPr>
      <w:r>
        <w:rPr>
          <w:rFonts w:ascii="Times New Roman" w:cs="Times New Roman" w:eastAsia="Times New Roman" w:hAnsi="Times New Roman"/>
          <w:sz w:val="22"/>
          <w:szCs w:val="22"/>
          <w:color w:val="auto"/>
        </w:rPr>
        <w:t>WHEREAS, the Company and Castle Creek are parties to that certain Registration Rights Agreement, dated as of May 8, 2019 (the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right="20" w:firstLine="324"/>
        <w:spacing w:after="0" w:line="258" w:lineRule="auto"/>
        <w:rPr>
          <w:sz w:val="20"/>
          <w:szCs w:val="20"/>
          <w:color w:val="auto"/>
        </w:rPr>
      </w:pPr>
      <w:r>
        <w:rPr>
          <w:rFonts w:ascii="Times New Roman" w:cs="Times New Roman" w:eastAsia="Times New Roman" w:hAnsi="Times New Roman"/>
          <w:sz w:val="22"/>
          <w:szCs w:val="22"/>
          <w:color w:val="auto"/>
        </w:rPr>
        <w:t>WHEREAS, the Agreement was made pursuant to the Securities Purchase Agreement, dated as of May 8, 2019, by and between the Company and Castle Creek;</w:t>
      </w:r>
    </w:p>
    <w:p>
      <w:pPr>
        <w:spacing w:after="0" w:line="15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22"/>
          <w:szCs w:val="22"/>
          <w:color w:val="auto"/>
        </w:rPr>
        <w:t>WHEREAS, the Company and Castle Creek agreed to amend the Agreement as of May 8, 2023 to extend the Filing Deadline (as defined below) by one year;</w:t>
      </w:r>
    </w:p>
    <w:p>
      <w:pPr>
        <w:spacing w:after="0" w:line="15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22"/>
          <w:szCs w:val="22"/>
          <w:color w:val="auto"/>
        </w:rPr>
        <w:t>WHEREAS, the Company and Castle Creek agreed to amend the Agreement as of May 6, 2024 to extend the Filing Deadline (as defined below) by one year;</w:t>
      </w:r>
    </w:p>
    <w:p>
      <w:pPr>
        <w:spacing w:after="0" w:line="158" w:lineRule="exact"/>
        <w:rPr>
          <w:sz w:val="20"/>
          <w:szCs w:val="20"/>
          <w:color w:val="auto"/>
        </w:rPr>
      </w:pPr>
    </w:p>
    <w:p>
      <w:pPr>
        <w:jc w:val="both"/>
        <w:ind w:right="20" w:firstLine="324"/>
        <w:spacing w:after="0" w:line="258" w:lineRule="auto"/>
        <w:rPr>
          <w:sz w:val="20"/>
          <w:szCs w:val="20"/>
          <w:color w:val="auto"/>
        </w:rPr>
      </w:pPr>
      <w:r>
        <w:rPr>
          <w:rFonts w:ascii="Times New Roman" w:cs="Times New Roman" w:eastAsia="Times New Roman" w:hAnsi="Times New Roman"/>
          <w:sz w:val="22"/>
          <w:szCs w:val="22"/>
          <w:color w:val="auto"/>
        </w:rPr>
        <w:t>WHEREAS, the Company and Castle Creek agreed to amend the Agreement as of April 26, 2025 to extend the Filing Deadline (as defined below) by one year; and</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WHEREAS, the parties to the Agreement desire to amend the Agreement as set forth herein.</w:t>
      </w:r>
    </w:p>
    <w:p>
      <w:pPr>
        <w:spacing w:after="0" w:line="20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22"/>
          <w:szCs w:val="22"/>
          <w:color w:val="auto"/>
        </w:rPr>
        <w:t>NOW, THEREFORE, in consideration of the premises, and for other good and valuable consideration, the receipt and legal sufficiency of which are hereby acknowledged, the parties hereby agree as follows:</w:t>
      </w:r>
    </w:p>
    <w:p>
      <w:pPr>
        <w:spacing w:after="0" w:line="154" w:lineRule="exact"/>
        <w:rPr>
          <w:sz w:val="20"/>
          <w:szCs w:val="20"/>
          <w:color w:val="auto"/>
        </w:rPr>
      </w:pPr>
    </w:p>
    <w:p>
      <w:pPr>
        <w:ind w:left="660"/>
        <w:spacing w:after="0"/>
        <w:tabs>
          <w:tab w:leader="none" w:pos="1440" w:val="left"/>
        </w:tabs>
        <w:rPr>
          <w:sz w:val="20"/>
          <w:szCs w:val="20"/>
          <w:color w:val="auto"/>
        </w:rPr>
      </w:pPr>
      <w:r>
        <w:rPr>
          <w:rFonts w:ascii="Times New Roman" w:cs="Times New Roman" w:eastAsia="Times New Roman" w:hAnsi="Times New Roman"/>
          <w:sz w:val="22"/>
          <w:szCs w:val="22"/>
          <w:color w:val="auto"/>
        </w:rPr>
        <w:t>1</w:t>
      </w:r>
      <w:r>
        <w:rPr>
          <w:rFonts w:ascii="Times New Roman" w:cs="Times New Roman" w:eastAsia="Times New Roman" w:hAnsi="Times New Roman"/>
          <w:sz w:val="22"/>
          <w:szCs w:val="22"/>
          <w:i w:val="1"/>
          <w:iCs w:val="1"/>
          <w:color w:val="auto"/>
        </w:rPr>
        <w:t>.</w:t>
      </w:r>
      <w:r>
        <w:rPr>
          <w:sz w:val="20"/>
          <w:szCs w:val="20"/>
          <w:color w:val="auto"/>
        </w:rPr>
        <w:tab/>
      </w:r>
      <w:r>
        <w:rPr>
          <w:rFonts w:ascii="Times New Roman" w:cs="Times New Roman" w:eastAsia="Times New Roman" w:hAnsi="Times New Roman"/>
          <w:sz w:val="21"/>
          <w:szCs w:val="21"/>
          <w:u w:val="single" w:color="auto"/>
          <w:color w:val="auto"/>
        </w:rPr>
        <w:t>Amendment to the definition of Filing Deadline</w:t>
      </w:r>
      <w:r>
        <w:rPr>
          <w:rFonts w:ascii="Times New Roman" w:cs="Times New Roman" w:eastAsia="Times New Roman" w:hAnsi="Times New Roman"/>
          <w:sz w:val="21"/>
          <w:szCs w:val="21"/>
          <w:color w:val="auto"/>
        </w:rPr>
        <w:t>: The definition of the term “Filing Deadline” in Section 1 of the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Agreement is hereby amended and replaced in its entirety as follows:</w:t>
      </w:r>
    </w:p>
    <w:p>
      <w:pPr>
        <w:spacing w:after="0" w:line="182"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Filing Deadline</w:t>
      </w:r>
      <w:r>
        <w:rPr>
          <w:rFonts w:ascii="Times New Roman" w:cs="Times New Roman" w:eastAsia="Times New Roman" w:hAnsi="Times New Roman"/>
          <w:sz w:val="22"/>
          <w:szCs w:val="22"/>
          <w:color w:val="auto"/>
        </w:rPr>
        <w:t>” means, with respect to the Initial Registration Statement required to be filed pursuant to Section 2(a), the date that is the eighth (8th) anniversary of the Closing Date, provided, that if the Filing Deadline falls on a Saturday, Sunday or other day that the Commission is closed for business, the Filing Deadline shall be extended to the next Business Day on which the Commission is open for business.</w:t>
      </w:r>
    </w:p>
    <w:p>
      <w:pPr>
        <w:spacing w:after="0" w:line="180" w:lineRule="exact"/>
        <w:rPr>
          <w:sz w:val="20"/>
          <w:szCs w:val="20"/>
          <w:color w:val="auto"/>
        </w:rPr>
      </w:pPr>
    </w:p>
    <w:p>
      <w:pPr>
        <w:ind w:right="60" w:firstLine="656"/>
        <w:spacing w:after="0" w:line="239" w:lineRule="auto"/>
        <w:tabs>
          <w:tab w:leader="none" w:pos="1458"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Further Amendments</w:t>
      </w:r>
      <w:r>
        <w:rPr>
          <w:rFonts w:ascii="Times New Roman" w:cs="Times New Roman" w:eastAsia="Times New Roman" w:hAnsi="Times New Roman"/>
          <w:sz w:val="22"/>
          <w:szCs w:val="22"/>
          <w:color w:val="auto"/>
        </w:rPr>
        <w:t>. Except as expressly amended and restated hereby, the Agreement is in all respects ratified and confirmed, and all the terms, conditions and provisions thereof shall remain in full force and effect. This Amendment is limited precisely as written and shall not be deemed to be an amendment to any other term or condition of the Agreement or any of the documents referred to therein.</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ind w:left="-20" w:firstLine="656"/>
        <w:spacing w:after="0" w:line="244" w:lineRule="auto"/>
        <w:tabs>
          <w:tab w:leader="none" w:pos="1438"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Effect of Amendment</w:t>
      </w:r>
      <w:r>
        <w:rPr>
          <w:rFonts w:ascii="Times New Roman" w:cs="Times New Roman" w:eastAsia="Times New Roman" w:hAnsi="Times New Roman"/>
          <w:sz w:val="22"/>
          <w:szCs w:val="22"/>
          <w:color w:val="auto"/>
        </w:rPr>
        <w:t>. Each party hereto shall be bound by the terms of this Amendment. From and after the execution of this Amendment by the parties hereto, any reference to the Agreement shall be deemed a reference to the Agreement as amended and restated hereby.</w:t>
      </w:r>
    </w:p>
    <w:p>
      <w:pPr>
        <w:spacing w:after="0" w:line="173" w:lineRule="exact"/>
        <w:rPr>
          <w:rFonts w:ascii="Times New Roman" w:cs="Times New Roman" w:eastAsia="Times New Roman" w:hAnsi="Times New Roman"/>
          <w:sz w:val="22"/>
          <w:szCs w:val="22"/>
          <w:color w:val="auto"/>
        </w:rPr>
      </w:pPr>
    </w:p>
    <w:p>
      <w:pPr>
        <w:jc w:val="both"/>
        <w:ind w:left="-20" w:right="280" w:firstLine="656"/>
        <w:spacing w:after="0" w:line="239" w:lineRule="auto"/>
        <w:tabs>
          <w:tab w:leader="none" w:pos="1438"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Amendment may be executed in two or more counterparts (including by facsimile or other electronic means), all of which shall be considered one and the same agreement and shall become effective when counterparts have been signed by each of the parties and delivered to the other party, it being understood that each party need not sign the same counterpart.</w:t>
      </w:r>
    </w:p>
    <w:p>
      <w:pPr>
        <w:spacing w:after="0" w:line="180" w:lineRule="exact"/>
        <w:rPr>
          <w:rFonts w:ascii="Times New Roman" w:cs="Times New Roman" w:eastAsia="Times New Roman" w:hAnsi="Times New Roman"/>
          <w:sz w:val="22"/>
          <w:szCs w:val="22"/>
          <w:color w:val="auto"/>
        </w:rPr>
      </w:pPr>
    </w:p>
    <w:p>
      <w:pPr>
        <w:ind w:left="-20" w:right="80" w:firstLine="656"/>
        <w:spacing w:after="0" w:line="236" w:lineRule="auto"/>
        <w:tabs>
          <w:tab w:leader="none" w:pos="1438"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Whenever possible, each provision or portion of any provision of this Amendment shall be interpreted in such manner as to be effective and valid under applicable law, but if any provision or portion of any provision of this Amendment is held to be invalid, illegal or unenforceable in any respect under any applicable law or rule in any jurisdiction, such invalidity, illegality or unenforceability shall not affect any other provision or portion of any provision in such jurisdiction, and this Amendment shall be reformed, construed and enforced in such jurisdiction as if such invalid, illegal or unenforceable provision or portion of any provision had never been contained herein.</w:t>
      </w:r>
    </w:p>
    <w:p>
      <w:pPr>
        <w:spacing w:after="0" w:line="181" w:lineRule="exact"/>
        <w:rPr>
          <w:rFonts w:ascii="Times New Roman" w:cs="Times New Roman" w:eastAsia="Times New Roman" w:hAnsi="Times New Roman"/>
          <w:sz w:val="22"/>
          <w:szCs w:val="22"/>
          <w:color w:val="auto"/>
        </w:rPr>
      </w:pPr>
    </w:p>
    <w:p>
      <w:pPr>
        <w:ind w:left="-20" w:right="80" w:firstLine="656"/>
        <w:spacing w:after="0" w:line="244" w:lineRule="auto"/>
        <w:tabs>
          <w:tab w:leader="none" w:pos="1438"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Amendment and all disputes or controversies arising out of or relating to this Amendment or the transactions contemplated hereby shall be governed by, and construed in accordance with, the laws of the State of Delaware, without regard to the conflict of law principles thereof, except to the extent that federal law applies.</w:t>
      </w:r>
    </w:p>
    <w:p>
      <w:pPr>
        <w:spacing w:after="0" w:line="173" w:lineRule="exact"/>
        <w:rPr>
          <w:rFonts w:ascii="Times New Roman" w:cs="Times New Roman" w:eastAsia="Times New Roman" w:hAnsi="Times New Roman"/>
          <w:sz w:val="22"/>
          <w:szCs w:val="22"/>
          <w:color w:val="auto"/>
        </w:rPr>
      </w:pPr>
    </w:p>
    <w:p>
      <w:pPr>
        <w:ind w:left="-20" w:right="60" w:firstLine="656"/>
        <w:spacing w:after="0" w:line="258" w:lineRule="auto"/>
        <w:tabs>
          <w:tab w:leader="none" w:pos="1438"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Headings</w:t>
      </w:r>
      <w:r>
        <w:rPr>
          <w:rFonts w:ascii="Times New Roman" w:cs="Times New Roman" w:eastAsia="Times New Roman" w:hAnsi="Times New Roman"/>
          <w:sz w:val="22"/>
          <w:szCs w:val="22"/>
          <w:color w:val="auto"/>
        </w:rPr>
        <w:t>. The headings used in this Amendment are inserted for purposes of convenience of reference only and shall not limit or define the meaning of any provisions of this Amendment.</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40640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544" w:right="359" w:bottom="1440" w:gutter="0" w:footer="0" w:header="0"/>
        </w:sectPr>
      </w:pPr>
    </w:p>
    <w:bookmarkStart w:id="5" w:name="page6"/>
    <w:bookmarkEnd w:id="5"/>
    <w:p>
      <w:pPr>
        <w:ind w:firstLine="648"/>
        <w:spacing w:after="0" w:line="262" w:lineRule="auto"/>
        <w:rPr>
          <w:sz w:val="20"/>
          <w:szCs w:val="20"/>
          <w:color w:val="auto"/>
        </w:rPr>
      </w:pPr>
      <w:r>
        <w:rPr>
          <w:rFonts w:ascii="Times New Roman" w:cs="Times New Roman" w:eastAsia="Times New Roman" w:hAnsi="Times New Roman"/>
          <w:sz w:val="22"/>
          <w:szCs w:val="22"/>
          <w:b w:val="1"/>
          <w:bCs w:val="1"/>
          <w:color w:val="auto"/>
        </w:rPr>
        <w:t>IN WITNESS WHEREOF</w:t>
      </w:r>
      <w:r>
        <w:rPr>
          <w:rFonts w:ascii="Times New Roman" w:cs="Times New Roman" w:eastAsia="Times New Roman" w:hAnsi="Times New Roman"/>
          <w:sz w:val="22"/>
          <w:szCs w:val="22"/>
          <w:color w:val="auto"/>
        </w:rPr>
        <w:t>, the parties have caused this Amendment to be executed by their duly authorized officers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the day and year first above written.</w:t>
      </w:r>
    </w:p>
    <w:p>
      <w:pPr>
        <w:spacing w:after="0" w:line="200" w:lineRule="exact"/>
        <w:rPr>
          <w:sz w:val="20"/>
          <w:szCs w:val="20"/>
          <w:color w:val="auto"/>
        </w:rPr>
      </w:pPr>
    </w:p>
    <w:p>
      <w:pPr>
        <w:spacing w:after="0" w:line="38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Pathfinder Bancorp, Inc.</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By:  /s/ James A. Dowd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-13970</wp:posOffset>
            </wp:positionV>
            <wp:extent cx="107061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70610" cy="8255"/>
                    </a:xfrm>
                    <a:prstGeom prst="rect">
                      <a:avLst/>
                    </a:prstGeom>
                    <a:noFill/>
                  </pic:spPr>
                </pic:pic>
              </a:graphicData>
            </a:graphic>
          </wp:anchor>
        </w:drawing>
      </w:r>
    </w:p>
    <w:p>
      <w:pPr>
        <w:ind w:left="4940"/>
        <w:spacing w:after="0"/>
        <w:rPr>
          <w:sz w:val="20"/>
          <w:szCs w:val="20"/>
          <w:color w:val="auto"/>
        </w:rPr>
      </w:pPr>
      <w:r>
        <w:rPr>
          <w:rFonts w:ascii="Times New Roman" w:cs="Times New Roman" w:eastAsia="Times New Roman" w:hAnsi="Times New Roman"/>
          <w:sz w:val="22"/>
          <w:szCs w:val="22"/>
          <w:color w:val="auto"/>
        </w:rPr>
        <w:t>James A. Dowd</w:t>
      </w:r>
    </w:p>
    <w:p>
      <w:pPr>
        <w:ind w:left="4940"/>
        <w:spacing w:after="0"/>
        <w:rPr>
          <w:sz w:val="20"/>
          <w:szCs w:val="20"/>
          <w:color w:val="auto"/>
        </w:rPr>
      </w:pPr>
      <w:r>
        <w:rPr>
          <w:rFonts w:ascii="Times New Roman" w:cs="Times New Roman" w:eastAsia="Times New Roman" w:hAnsi="Times New Roman"/>
          <w:sz w:val="22"/>
          <w:szCs w:val="22"/>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b w:val="1"/>
          <w:bCs w:val="1"/>
          <w:color w:val="auto"/>
        </w:rPr>
        <w:t>Castle Creek Capital Partners VII, LP</w:t>
      </w:r>
    </w:p>
    <w:p>
      <w:pPr>
        <w:spacing w:after="0" w:line="210"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By: Castle Creek Capital Partners VII LLC, its general partner</w:t>
      </w:r>
    </w:p>
    <w:p>
      <w:pPr>
        <w:spacing w:after="0" w:line="20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Tony Scavuzzo</w:t>
      </w:r>
    </w:p>
    <w:p>
      <w:pPr>
        <w:spacing w:after="0" w:line="4"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2"/>
          <w:szCs w:val="22"/>
          <w:color w:val="auto"/>
        </w:rPr>
        <w:t>Tony Scavuzzo</w:t>
      </w:r>
    </w:p>
    <w:p>
      <w:pPr>
        <w:ind w:left="4940"/>
        <w:spacing w:after="0"/>
        <w:rPr>
          <w:sz w:val="20"/>
          <w:szCs w:val="20"/>
          <w:color w:val="auto"/>
        </w:rPr>
      </w:pPr>
      <w:r>
        <w:rPr>
          <w:rFonts w:ascii="Times New Roman" w:cs="Times New Roman" w:eastAsia="Times New Roman" w:hAnsi="Times New Roman"/>
          <w:sz w:val="22"/>
          <w:szCs w:val="22"/>
          <w:color w:val="auto"/>
        </w:rPr>
        <w:t>Principal</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sectPr>
      <w:pgSz w:w="11900" w:h="16838" w:orient="portrait"/>
      <w:cols w:equalWidth="0" w:num="1">
        <w:col w:w="11240"/>
      </w:cols>
      <w:pgMar w:left="320" w:top="5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1"/>
    </w:lvl>
  </w:abstractNum>
  <w:abstractNum w:abstractNumId="2">
    <w:nsid w:val="2AE8944A"/>
    <w:multiLevelType w:val="hybridMultilevel"/>
    <w:lvl w:ilvl="0">
      <w:lvlJc w:val="left"/>
      <w:lvlText w:val="%1."/>
      <w:numFmt w:val="decimal"/>
      <w:start w:val="2"/>
    </w:lvl>
  </w:abstractNum>
  <w:abstractNum w:abstractNumId="3">
    <w:nsid w:val="625558EC"/>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2026-05-07T16:05:32Z</dcterms:created>
  <dcterms:modified xsi:type="dcterms:W3CDTF">2026-05-07T16:05:32Z</dcterms:modified>
</cp:coreProperties>
</file>