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bookmarkStart w:id="0" w:name="pbhc-20260630.htm"/>
      <w:bookmarkStart w:id="1" w:name="kspbhc20260630"/>
      <w:bookmarkEnd w:id="0"/>
      <w:bookmarkEnd w:id="1"/>
      <w:r>
        <w:rPr/>
        <w:t> </w:t>
      </w:r>
    </w:p>
    <w:p>
      <w:pPr>
        <w:pStyle w:val="TextBody"/>
        <w:bidi w:val="0"/>
        <w:jc w:val="center"/>
        <w:rPr>
          <w:rFonts w:ascii="Times New Roman" w:hAnsi="Times New Roman"/>
          <w:b/>
          <w:color w:val="000000"/>
          <w:sz w:val="24"/>
        </w:rPr>
      </w:pPr>
      <w:bookmarkStart w:id="2" w:name="table_contents"/>
      <w:bookmarkEnd w:id="2"/>
      <w:r>
        <w:rPr>
          <w:rFonts w:ascii="Times New Roman" w:hAnsi="Times New Roman"/>
          <w:b/>
          <w:color w:val="000000"/>
          <w:sz w:val="24"/>
        </w:rPr>
        <w:t>UNITED STATES 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center"/>
        <w:rPr/>
      </w:pPr>
      <w:r>
        <w:rPr/>
        <w:t> </w:t>
      </w:r>
    </w:p>
    <w:tbl>
      <w:tblPr>
        <w:tblW w:w="9887" w:type="dxa"/>
        <w:jc w:val="left"/>
        <w:tblInd w:w="0" w:type="dxa"/>
        <w:tblLayout w:type="fixed"/>
        <w:tblCellMar>
          <w:top w:w="28" w:type="dxa"/>
          <w:left w:w="28" w:type="dxa"/>
          <w:bottom w:w="28" w:type="dxa"/>
          <w:right w:w="28" w:type="dxa"/>
        </w:tblCellMar>
      </w:tblPr>
      <w:tblGrid>
        <w:gridCol w:w="331"/>
        <w:gridCol w:w="9556"/>
      </w:tblGrid>
      <w:tr>
        <w:trPr/>
        <w:tc>
          <w:tcPr>
            <w:tcW w:w="331" w:type="dxa"/>
            <w:tcBorders/>
            <w:vAlign w:val="center"/>
          </w:tcPr>
          <w:p>
            <w:pPr>
              <w:pStyle w:val="TableContents"/>
              <w:bidi w:val="0"/>
              <w:spacing w:before="0" w:after="283"/>
              <w:jc w:val="left"/>
              <w:rPr>
                <w:sz w:val="4"/>
                <w:szCs w:val="4"/>
              </w:rPr>
            </w:pPr>
            <w:r>
              <w:rPr>
                <w:sz w:val="4"/>
                <w:szCs w:val="4"/>
              </w:rPr>
            </w:r>
          </w:p>
        </w:tc>
        <w:tc>
          <w:tcPr>
            <w:tcW w:w="95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556" w:type="dxa"/>
            <w:tcBorders/>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color w:val="000000"/>
                <w:sz w:val="20"/>
              </w:rPr>
              <w:t>QUARTERLY REPORT PURSUANT TO SECTION 13 OR 15(d) OF THE SECURITIES EXCHANGE ACT OF 1934</w:t>
            </w:r>
          </w:p>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For the quarterly period ended June 30, 2026</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OR</w:t>
      </w:r>
    </w:p>
    <w:tbl>
      <w:tblPr>
        <w:tblW w:w="9857" w:type="dxa"/>
        <w:jc w:val="left"/>
        <w:tblInd w:w="0" w:type="dxa"/>
        <w:tblLayout w:type="fixed"/>
        <w:tblCellMar>
          <w:top w:w="28" w:type="dxa"/>
          <w:left w:w="28" w:type="dxa"/>
          <w:bottom w:w="28" w:type="dxa"/>
          <w:right w:w="28" w:type="dxa"/>
        </w:tblCellMar>
      </w:tblPr>
      <w:tblGrid>
        <w:gridCol w:w="331"/>
        <w:gridCol w:w="9526"/>
      </w:tblGrid>
      <w:tr>
        <w:trPr/>
        <w:tc>
          <w:tcPr>
            <w:tcW w:w="331" w:type="dxa"/>
            <w:tcBorders/>
            <w:vAlign w:val="center"/>
          </w:tcPr>
          <w:p>
            <w:pPr>
              <w:pStyle w:val="TableContents"/>
              <w:bidi w:val="0"/>
              <w:spacing w:before="0" w:after="283"/>
              <w:jc w:val="left"/>
              <w:rPr>
                <w:sz w:val="4"/>
                <w:szCs w:val="4"/>
              </w:rPr>
            </w:pPr>
            <w:r>
              <w:rPr>
                <w:sz w:val="4"/>
                <w:szCs w:val="4"/>
              </w:rPr>
            </w:r>
          </w:p>
        </w:tc>
        <w:tc>
          <w:tcPr>
            <w:tcW w:w="95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526" w:type="dxa"/>
            <w:tcBorders/>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color w:val="000000"/>
                <w:sz w:val="20"/>
              </w:rPr>
              <w:t>TRANSITION REPORT PURSUANT TO SECTION 13 OR 15(d) OF THE SECURITIES EXCHANGE ACT OF 1934</w:t>
            </w:r>
          </w:p>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For the transition period from _______ to _______</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2028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476250"/>
                    </a:xfrm>
                    <a:prstGeom prst="rect">
                      <a:avLst/>
                    </a:prstGeom>
                  </pic:spPr>
                </pic:pic>
              </a:graphicData>
            </a:graphic>
          </wp:inline>
        </w:drawing>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(Exact Name of Company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3826"/>
        <w:gridCol w:w="1921"/>
        <w:gridCol w:w="3016"/>
      </w:tblGrid>
      <w:tr>
        <w:trPr/>
        <w:tc>
          <w:tcPr>
            <w:tcW w:w="382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Maryland</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(State of Other Jurisdiction of Incorporation)</w:t>
            </w:r>
          </w:p>
        </w:tc>
        <w:tc>
          <w:tcPr>
            <w:tcW w:w="19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001-36695</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(Commission File No.)</w:t>
            </w:r>
          </w:p>
        </w:tc>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38-3941859</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214 West First Street</w:t>
      </w:r>
    </w:p>
    <w:p>
      <w:pPr>
        <w:pStyle w:val="TextBody"/>
        <w:bidi w:val="0"/>
        <w:jc w:val="center"/>
        <w:rPr>
          <w:rFonts w:ascii="Times New Roman" w:hAnsi="Times New Roman"/>
          <w:sz w:val="20"/>
        </w:rPr>
      </w:pPr>
      <w:r>
        <w:rPr>
          <w:rFonts w:ascii="Times New Roman" w:hAnsi="Times New Roman"/>
          <w:b/>
          <w:color w:val="000000"/>
          <w:sz w:val="20"/>
        </w:rPr>
        <w:t>Oswego, NY</w:t>
      </w:r>
      <w:r>
        <w:rPr>
          <w:rFonts w:ascii="Times New Roman" w:hAnsi="Times New Roman"/>
          <w:color w:val="000000"/>
          <w:sz w:val="20"/>
        </w:rPr>
        <w:t xml:space="preserve"> </w:t>
      </w:r>
      <w:r>
        <w:rPr>
          <w:rFonts w:ascii="Times New Roman" w:hAnsi="Times New Roman"/>
          <w:b/>
          <w:color w:val="000000"/>
          <w:sz w:val="20"/>
        </w:rPr>
        <w:t>13126</w:t>
      </w:r>
    </w:p>
    <w:p>
      <w:pPr>
        <w:pStyle w:val="TextBody"/>
        <w:bidi w:val="0"/>
        <w:jc w:val="center"/>
        <w:rPr>
          <w:rFonts w:ascii="Times New Roman" w:hAnsi="Times New Roman"/>
          <w:b/>
          <w:color w:val="000000"/>
          <w:sz w:val="20"/>
        </w:rPr>
      </w:pPr>
      <w:r>
        <w:rPr>
          <w:rFonts w:ascii="Times New Roman" w:hAnsi="Times New Roman"/>
          <w:b/>
          <w:color w:val="000000"/>
          <w:sz w:val="20"/>
        </w:rPr>
        <w:t>(315) 343-0057</w:t>
      </w:r>
    </w:p>
    <w:p>
      <w:pPr>
        <w:pStyle w:val="TextBody"/>
        <w:bidi w:val="0"/>
        <w:spacing w:before="60" w:after="283"/>
        <w:jc w:val="center"/>
        <w:rPr>
          <w:rFonts w:ascii="Times New Roman" w:hAnsi="Times New Roman"/>
          <w:i/>
          <w:color w:val="000000"/>
          <w:sz w:val="20"/>
        </w:rPr>
      </w:pPr>
      <w:r>
        <w:rPr>
          <w:rFonts w:ascii="Times New Roman" w:hAnsi="Times New Roman"/>
          <w:i/>
          <w:color w:val="000000"/>
          <w:sz w:val="20"/>
        </w:rPr>
        <w:t>(Address, including zip code, and telephone number, including area code, of registrant’s principal executive offices)</w:t>
      </w:r>
    </w:p>
    <w:p>
      <w:pPr>
        <w:pStyle w:val="TextBody"/>
        <w:bidi w:val="0"/>
        <w:jc w:val="center"/>
        <w:rPr/>
      </w:pPr>
      <w:r>
        <w:rPr/>
        <w:t> </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343" w:type="dxa"/>
        <w:jc w:val="left"/>
        <w:tblInd w:w="0" w:type="dxa"/>
        <w:tblLayout w:type="fixed"/>
        <w:tblCellMar>
          <w:top w:w="28" w:type="dxa"/>
          <w:left w:w="28" w:type="dxa"/>
          <w:bottom w:w="28" w:type="dxa"/>
          <w:right w:w="28" w:type="dxa"/>
        </w:tblCellMar>
      </w:tblPr>
      <w:tblGrid>
        <w:gridCol w:w="2821"/>
        <w:gridCol w:w="1696"/>
        <w:gridCol w:w="3826"/>
      </w:tblGrid>
      <w:tr>
        <w:trPr/>
        <w:tc>
          <w:tcPr>
            <w:tcW w:w="28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$0.01 par value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PBHC</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240" w:after="240"/>
        <w:jc w:val="both"/>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998"/>
        <w:gridCol w:w="1586"/>
        <w:gridCol w:w="1946"/>
        <w:gridCol w:w="2312"/>
        <w:gridCol w:w="2363"/>
      </w:tblGrid>
      <w:tr>
        <w:trPr/>
        <w:tc>
          <w:tcPr>
            <w:tcW w:w="199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c>
          <w:tcPr>
            <w:tcW w:w="19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c>
          <w:tcPr>
            <w:tcW w:w="1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23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3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August 10, 2026, there were 4,898,360 shares outstanding of the registrant’s Voting common stock and 1,380,283 shares outstanding of the registrant’s Series A Non-Voting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3" w:name="pathfinder_bancorp_inc"/>
      <w:bookmarkEnd w:id="3"/>
      <w:r>
        <w:rPr>
          <w:rFonts w:ascii="Times New Roman" w:hAnsi="Times New Roman"/>
          <w:b/>
          <w:color w:val="000000"/>
          <w:sz w:val="22"/>
        </w:rPr>
        <w:t>PATHFINDER BANCORP, INC.</w:t>
        <w:br/>
        <w:t>FORM 10-Q - Quarter Ended June 30, 2026</w:t>
      </w:r>
    </w:p>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811"/>
        <w:gridCol w:w="8356"/>
        <w:gridCol w:w="691"/>
      </w:tblGrid>
      <w:tr>
        <w:trPr/>
        <w:tc>
          <w:tcPr>
            <w:tcW w:w="81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91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TABLE OF CONTENTS</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Consolidated Financial Statements (Unaudited)</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ndition">
              <w:r>
                <w:rPr>
                  <w:rStyle w:val="InternetLink"/>
                  <w:rFonts w:ascii="Times New Roman" w:hAnsi="Times New Roman"/>
                  <w:color w:val="0000FF"/>
                  <w:sz w:val="20"/>
                  <w:u w:val="single"/>
                </w:rPr>
                <w:t>Consolidated Statements of Condition</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consolidated_statements_income">
              <w:r>
                <w:rPr>
                  <w:rStyle w:val="InternetLink"/>
                  <w:rFonts w:ascii="Times New Roman" w:hAnsi="Times New Roman"/>
                  <w:color w:val="0000FF"/>
                  <w:sz w:val="20"/>
                  <w:u w:val="single"/>
                </w:rPr>
                <w:t>Consolidated Statements of Income</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(Loss)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changes_in_shareholder_equity">
              <w:r>
                <w:rPr>
                  <w:rStyle w:val="InternetLink"/>
                  <w:rFonts w:ascii="Times New Roman" w:hAnsi="Times New Roman"/>
                  <w:color w:val="0000FF"/>
                  <w:sz w:val="20"/>
                  <w:u w:val="single"/>
                </w:rPr>
                <w:t>Consolidated Statements of Changes in Shareholders' Equity</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consolidated_cash_flows">
              <w:r>
                <w:rPr>
                  <w:rStyle w:val="InternetLink"/>
                  <w:rFonts w:ascii="Times New Roman" w:hAnsi="Times New Roman"/>
                  <w:color w:val="0000FF"/>
                  <w:sz w:val="20"/>
                  <w:u w:val="single"/>
                </w:rPr>
                <w:t>Consolidated Statements of Cash Flows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 (Unaudited)</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6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center"/>
        <w:rPr>
          <w:rFonts w:ascii="Times New Roman" w:hAnsi="Times New Roman"/>
          <w:b/>
          <w:color w:val="000000"/>
          <w:sz w:val="22"/>
        </w:rPr>
      </w:pPr>
      <w:r>
        <w:rPr>
          <w:rFonts w:ascii="Times New Roman" w:hAnsi="Times New Roman"/>
          <w:b/>
          <w:color w:val="000000"/>
          <w:sz w:val="22"/>
        </w:rPr>
        <w:t>GLOSSARY OF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listing includes acronyms and terms used throughout the document:</w:t>
      </w:r>
    </w:p>
    <w:p>
      <w:pPr>
        <w:pStyle w:val="TextBody"/>
        <w:bidi w:val="0"/>
        <w:jc w:val="left"/>
        <w:rPr/>
      </w:pPr>
      <w:r>
        <w:rPr/>
        <w:t> </w:t>
      </w:r>
    </w:p>
    <w:tbl>
      <w:tblPr>
        <w:tblW w:w="9407" w:type="dxa"/>
        <w:jc w:val="left"/>
        <w:tblInd w:w="0" w:type="dxa"/>
        <w:tblLayout w:type="fixed"/>
        <w:tblCellMar>
          <w:top w:w="28" w:type="dxa"/>
          <w:left w:w="28" w:type="dxa"/>
          <w:bottom w:w="28" w:type="dxa"/>
          <w:right w:w="28" w:type="dxa"/>
        </w:tblCellMar>
      </w:tblPr>
      <w:tblGrid>
        <w:gridCol w:w="3181"/>
        <w:gridCol w:w="6226"/>
      </w:tblGrid>
      <w:tr>
        <w:trPr/>
        <w:tc>
          <w:tcPr>
            <w:tcW w:w="3181"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6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Definition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Annual Report</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10-K for the year ended December 31, 2025</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ACL</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AFS</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AOCI</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Accounting Standards Board Accounting Standards Codification</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ASU</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Standards Update</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Pathfinder Bank</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BOLI</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Bank-Owned Life Insurance</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bps</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Points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CECL</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Losses</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CET1</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Equity Tier 1</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CFO</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Pathfinder Bancorp, Inc.</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Perpetual Preferred Stock</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Convertible Perpetual Preferred Stock</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DCF</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EPS</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Act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Exchange Act of 1934</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FASB</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FDIC</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Deposit Insurance Corporation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FHLB-NY</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Home Loan Bank of New York</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FRB-NY</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Reserve Bank of New York</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Foreclosed Real Estate Owned</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principles generally accepted in the United States</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GSE</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government agencies and government-sponsored enterprises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HTM</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Held-to-Maturity</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IAL</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Individually Analyzed Loan</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LOCOM</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Lower of Cost or Market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MMDA</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Deposit Accounts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Nasdaq Stock Market LLC</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Negotiable Order of Withdrawal</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NRSRO</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Nationally Recognized Statistical Rating Organization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Participating Securities</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that participate in dividends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PCA</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Prompt Corrective Action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PCL</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PRMC</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Pathfinder Risk Management Company, Inc.</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QF</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Qualitative Factors</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RWA</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Risk-Weighted Assets</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SBA</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 Business Administration</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and Exchange Commission</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Overnight Financing Rate</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of America</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Whispering Oaks</w:t>
            </w:r>
          </w:p>
        </w:tc>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Whispering Oaks Development Corp.</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PART I - FINANCIAL INFORMATION</w:t>
      </w:r>
    </w:p>
    <w:p>
      <w:pPr>
        <w:pStyle w:val="Heading1"/>
        <w:bidi w:val="0"/>
        <w:jc w:val="left"/>
        <w:rPr/>
      </w:pPr>
      <w:r>
        <w:rPr/>
        <w:t> </w:t>
      </w:r>
    </w:p>
    <w:p>
      <w:pPr>
        <w:pStyle w:val="Heading1"/>
        <w:bidi w:val="0"/>
        <w:jc w:val="left"/>
        <w:rPr>
          <w:rFonts w:ascii="Times New Roman" w:hAnsi="Times New Roman"/>
          <w:color w:val="000000"/>
          <w:sz w:val="22"/>
        </w:rPr>
      </w:pPr>
      <w:bookmarkStart w:id="4" w:name="item_1_consolidated_financial_statements"/>
      <w:bookmarkEnd w:id="4"/>
      <w:r>
        <w:rPr>
          <w:rFonts w:ascii="Times New Roman" w:hAnsi="Times New Roman"/>
          <w:color w:val="000000"/>
          <w:sz w:val="22"/>
        </w:rPr>
        <w:t>Item 1. Consolidated Financial Statements (Unaudited)</w:t>
      </w:r>
    </w:p>
    <w:p>
      <w:pPr>
        <w:pStyle w:val="Heading1"/>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Pathfinder Bancorp, Inc.</w:t>
      </w:r>
    </w:p>
    <w:p>
      <w:pPr>
        <w:pStyle w:val="Heading1"/>
        <w:bidi w:val="0"/>
        <w:jc w:val="center"/>
        <w:rPr>
          <w:rFonts w:ascii="Times New Roman" w:hAnsi="Times New Roman"/>
          <w:color w:val="000000"/>
          <w:sz w:val="22"/>
        </w:rPr>
      </w:pPr>
      <w:bookmarkStart w:id="5" w:name="consolidated_statements_condition"/>
      <w:bookmarkEnd w:id="5"/>
      <w:r>
        <w:rPr>
          <w:rFonts w:ascii="Times New Roman" w:hAnsi="Times New Roman"/>
          <w:color w:val="000000"/>
          <w:sz w:val="22"/>
        </w:rPr>
        <w:t>Consolidated Statements of Condition (Unaudited)</w:t>
      </w:r>
    </w:p>
    <w:p>
      <w:pPr>
        <w:pStyle w:val="TextBody"/>
        <w:bidi w:val="0"/>
        <w:jc w:val="center"/>
        <w:rPr/>
      </w:pPr>
      <w:r>
        <w:rPr/>
        <w:t> </w:t>
      </w:r>
    </w:p>
    <w:tbl>
      <w:tblPr>
        <w:tblW w:w="9967" w:type="dxa"/>
        <w:jc w:val="left"/>
        <w:tblInd w:w="0" w:type="dxa"/>
        <w:tblLayout w:type="fixed"/>
        <w:tblCellMar>
          <w:top w:w="28" w:type="dxa"/>
          <w:left w:w="28" w:type="dxa"/>
          <w:bottom w:w="28" w:type="dxa"/>
          <w:right w:w="28" w:type="dxa"/>
        </w:tblCellMar>
      </w:tblPr>
      <w:tblGrid>
        <w:gridCol w:w="7001"/>
        <w:gridCol w:w="146"/>
        <w:gridCol w:w="196"/>
        <w:gridCol w:w="826"/>
        <w:gridCol w:w="166"/>
        <w:gridCol w:w="146"/>
        <w:gridCol w:w="210"/>
        <w:gridCol w:w="885"/>
        <w:gridCol w:w="391"/>
      </w:tblGrid>
      <w:tr>
        <w:trPr/>
        <w:tc>
          <w:tcPr>
            <w:tcW w:w="7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Interest-earning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Held-to-maturity securities, at amortized cost (fair value of $106,011</w:t>
            </w:r>
            <w:r>
              <w:rPr>
                <w:rFonts w:ascii="Times New Roman" w:hAnsi="Times New Roman"/>
                <w:color w:val="000000"/>
                <w:sz w:val="20"/>
              </w:rPr>
              <w:t> </w:t>
            </w:r>
            <w:r>
              <w:rPr>
                <w:rFonts w:ascii="Times New Roman" w:hAnsi="Times New Roman"/>
                <w:color w:val="000000"/>
                <w:sz w:val="17"/>
              </w:rPr>
              <w:t>and $125,198,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130,324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Marketable equity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Federal Home Loan Bank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 net of deferred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896,670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Less: Allowance for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Loans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867,234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1,426,636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987,471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Noninterest-bearing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deposits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1,183,848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1,366,759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1,304,185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Voting common stock, par value $0.01; 25,000,000</w:t>
            </w:r>
            <w:r>
              <w:rPr>
                <w:rFonts w:ascii="Times New Roman" w:hAnsi="Times New Roman"/>
                <w:color w:val="000000"/>
                <w:sz w:val="20"/>
              </w:rPr>
              <w:t> </w:t>
            </w:r>
            <w:r>
              <w:rPr>
                <w:rFonts w:ascii="Times New Roman" w:hAnsi="Times New Roman"/>
                <w:color w:val="000000"/>
                <w:sz w:val="17"/>
              </w:rPr>
              <w:t xml:space="preserve">authorized shares; </w:t>
              <w:br/>
              <w:t>   4,898,360</w:t>
            </w:r>
            <w:r>
              <w:rPr>
                <w:rFonts w:ascii="Times New Roman" w:hAnsi="Times New Roman"/>
                <w:color w:val="000000"/>
                <w:sz w:val="20"/>
              </w:rPr>
              <w:t> </w:t>
            </w:r>
            <w:r>
              <w:rPr>
                <w:rFonts w:ascii="Times New Roman" w:hAnsi="Times New Roman"/>
                <w:color w:val="000000"/>
                <w:sz w:val="17"/>
              </w:rPr>
              <w:t>and 4,805,361</w:t>
            </w:r>
            <w:r>
              <w:rPr>
                <w:rFonts w:ascii="Times New Roman" w:hAnsi="Times New Roman"/>
                <w:color w:val="000000"/>
                <w:sz w:val="20"/>
              </w:rPr>
              <w:t> </w:t>
            </w:r>
            <w:r>
              <w:rPr>
                <w:rFonts w:ascii="Times New Roman" w:hAnsi="Times New Roman"/>
                <w:color w:val="000000"/>
                <w:sz w:val="17"/>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Non-Voting common stock, par value $0.01; 1,505,283</w:t>
            </w:r>
            <w:r>
              <w:rPr>
                <w:rFonts w:ascii="Times New Roman" w:hAnsi="Times New Roman"/>
                <w:color w:val="000000"/>
                <w:sz w:val="20"/>
              </w:rPr>
              <w:t> </w:t>
            </w:r>
            <w:r>
              <w:rPr>
                <w:rFonts w:ascii="Times New Roman" w:hAnsi="Times New Roman"/>
                <w:color w:val="000000"/>
                <w:sz w:val="17"/>
              </w:rPr>
              <w:t xml:space="preserve">authorized shares; </w:t>
              <w:br/>
              <w:t>   1,380,283</w:t>
            </w:r>
            <w:r>
              <w:rPr>
                <w:rFonts w:ascii="Times New Roman" w:hAnsi="Times New Roman"/>
                <w:color w:val="000000"/>
                <w:sz w:val="20"/>
              </w:rPr>
              <w:t> </w:t>
            </w:r>
            <w:r>
              <w:rPr>
                <w:rFonts w:ascii="Times New Roman" w:hAnsi="Times New Roman"/>
                <w:color w:val="000000"/>
                <w:sz w:val="17"/>
              </w:rPr>
              <w:t>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1,426,636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The accompanying notes are an integral part of the consolidated financial statements.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Heading1"/>
        <w:bidi w:val="0"/>
        <w:jc w:val="center"/>
        <w:rPr>
          <w:rFonts w:ascii="Times New Roman" w:hAnsi="Times New Roman"/>
          <w:color w:val="000000"/>
          <w:sz w:val="22"/>
        </w:rPr>
      </w:pPr>
      <w:r>
        <w:rPr>
          <w:rFonts w:ascii="Times New Roman" w:hAnsi="Times New Roman"/>
          <w:color w:val="000000"/>
          <w:sz w:val="22"/>
        </w:rPr>
        <w:t>Pathfinder Bancorp, Inc.</w:t>
      </w:r>
    </w:p>
    <w:p>
      <w:pPr>
        <w:pStyle w:val="Heading1"/>
        <w:bidi w:val="0"/>
        <w:jc w:val="center"/>
        <w:rPr>
          <w:rFonts w:ascii="Times New Roman" w:hAnsi="Times New Roman"/>
          <w:color w:val="000000"/>
          <w:sz w:val="22"/>
        </w:rPr>
      </w:pPr>
      <w:bookmarkStart w:id="6" w:name="consolidated_statements_income"/>
      <w:bookmarkEnd w:id="6"/>
      <w:r>
        <w:rPr>
          <w:rFonts w:ascii="Times New Roman" w:hAnsi="Times New Roman"/>
          <w:color w:val="000000"/>
          <w:sz w:val="22"/>
        </w:rPr>
        <w:t>Consolidated Statements of Income (Unaudited)</w:t>
      </w:r>
    </w:p>
    <w:p>
      <w:pPr>
        <w:pStyle w:val="Heading1"/>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77"/>
        <w:gridCol w:w="146"/>
        <w:gridCol w:w="263"/>
        <w:gridCol w:w="810"/>
        <w:gridCol w:w="182"/>
        <w:gridCol w:w="161"/>
        <w:gridCol w:w="263"/>
        <w:gridCol w:w="810"/>
        <w:gridCol w:w="166"/>
        <w:gridCol w:w="146"/>
        <w:gridCol w:w="264"/>
        <w:gridCol w:w="809"/>
        <w:gridCol w:w="170"/>
        <w:gridCol w:w="149"/>
        <w:gridCol w:w="264"/>
        <w:gridCol w:w="809"/>
        <w:gridCol w:w="416"/>
      </w:tblGrid>
      <w:tr>
        <w:trPr/>
        <w:tc>
          <w:tcPr>
            <w:tcW w:w="4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26,778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Federal funds sold and interest earning deposits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 and dividend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18,068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35,570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on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on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on long-term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on subordinated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14,694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16,398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(Benefit from)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Unfunded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(benefit from) provision for credit losses,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income after provision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21,199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20,571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Service charges on deposit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Earnings and gain on bank owned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 servicing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realized losses on sales and redemptions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(losses) gains on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Gains on sales of loans and 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Fair value adjustment to loans held-for-sale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Debit card interchange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charges, commissions &amp;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noninterest income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Salaries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8,975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Building and 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Data processing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Professional and other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FDIC assessments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Audits and exams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Community service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Foreclosed real estate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noninterest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17,354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16,494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Voting Earnings per common share - basic</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Voting Earnings per common share -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0.47</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Series A Non-Voting Earnings per common share- basic</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Series A Non-Voting Earnings per common share-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0.47</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Dividends per common share (Voting and Series A Non-Voting)</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LOCOM adjustment on loans held-for-sale to the estimated market value based on sale negotiation terms.</w:t>
      </w:r>
    </w:p>
    <w:p>
      <w:pPr>
        <w:pStyle w:val="TextBody"/>
        <w:bidi w:val="0"/>
        <w:jc w:val="left"/>
        <w:rPr>
          <w:rFonts w:ascii="Times New Roman" w:hAnsi="Times New Roman"/>
          <w:sz w:val="20"/>
        </w:rPr>
      </w:pPr>
      <w:r>
        <w:rPr>
          <w:rFonts w:ascii="Times New Roman" w:hAnsi="Times New Roman"/>
          <w:color w:val="000000"/>
          <w:sz w:val="16"/>
        </w:rPr>
        <w:br/>
      </w:r>
      <w:r>
        <w:rPr>
          <w:rFonts w:ascii="Times New Roman" w:hAnsi="Times New Roman"/>
          <w:i/>
          <w:color w:val="000000"/>
          <w:sz w:val="16"/>
        </w:rPr>
        <w:t>The accompanying notes are an integral part of the consolidated financial statements.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center"/>
        <w:rPr>
          <w:rFonts w:ascii="Times New Roman" w:hAnsi="Times New Roman"/>
          <w:b/>
          <w:color w:val="000000"/>
          <w:sz w:val="22"/>
        </w:rPr>
      </w:pPr>
      <w:r>
        <w:rPr>
          <w:rFonts w:ascii="Times New Roman" w:hAnsi="Times New Roman"/>
          <w:b/>
          <w:color w:val="000000"/>
          <w:sz w:val="22"/>
        </w:rPr>
        <w:t>Pathfinder Bancorp, Inc.</w:t>
      </w:r>
    </w:p>
    <w:p>
      <w:pPr>
        <w:pStyle w:val="TextBody"/>
        <w:bidi w:val="0"/>
        <w:jc w:val="center"/>
        <w:rPr>
          <w:rFonts w:ascii="Times New Roman" w:hAnsi="Times New Roman"/>
          <w:b/>
          <w:color w:val="000000"/>
          <w:sz w:val="22"/>
        </w:rPr>
      </w:pPr>
      <w:bookmarkStart w:id="7" w:name="consolidated_statements_comprehensive_in"/>
      <w:bookmarkEnd w:id="7"/>
      <w:r>
        <w:rPr>
          <w:rFonts w:ascii="Times New Roman" w:hAnsi="Times New Roman"/>
          <w:b/>
          <w:color w:val="000000"/>
          <w:sz w:val="22"/>
        </w:rPr>
        <w:t>Consolidated Statements of Comprehensive Income (Loss)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42"/>
        <w:gridCol w:w="146"/>
        <w:gridCol w:w="269"/>
        <w:gridCol w:w="704"/>
        <w:gridCol w:w="197"/>
        <w:gridCol w:w="173"/>
        <w:gridCol w:w="293"/>
        <w:gridCol w:w="653"/>
        <w:gridCol w:w="166"/>
        <w:gridCol w:w="146"/>
        <w:gridCol w:w="254"/>
        <w:gridCol w:w="741"/>
        <w:gridCol w:w="176"/>
        <w:gridCol w:w="154"/>
        <w:gridCol w:w="269"/>
        <w:gridCol w:w="704"/>
        <w:gridCol w:w="318"/>
      </w:tblGrid>
      <w:tr>
        <w:trPr/>
        <w:tc>
          <w:tcPr>
            <w:tcW w:w="4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Retirement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Retirement plan net (losses) gains recognized in plan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(losses) gains on retirement plans</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3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Unrealized holding (losses)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Unrealized holding (losses) gains arising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Reclassification adjustment for net gains included in 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(losses) gains on available-for-sale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Derivatives and hedging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Unrealized holding losses arising during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losses on derivatives and hedging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income,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effect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3,291</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Tax Effect Allocated to Each Component of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Retirement plan net gains recognized in plan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8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Unrealized holding losses (gains) on available-for-sale securities arising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Reclassification adjustment for net gains on available-for-sale securities included in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8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Unrealized losses on derivatives and hedging arising during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effect related to other comprehensive loss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The accompanying notes are an integral part of the consolidated financial statements.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center"/>
        <w:rPr>
          <w:rFonts w:ascii="Times New Roman" w:hAnsi="Times New Roman"/>
          <w:b/>
          <w:color w:val="000000"/>
          <w:sz w:val="22"/>
        </w:rPr>
      </w:pPr>
      <w:r>
        <w:rPr>
          <w:rFonts w:ascii="Times New Roman" w:hAnsi="Times New Roman"/>
          <w:b/>
          <w:color w:val="000000"/>
          <w:sz w:val="22"/>
        </w:rPr>
        <w:t>Pathfinder Bancorp,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Changes in Shareholders' Equity (Unaudited)</w:t>
      </w:r>
    </w:p>
    <w:p>
      <w:pPr>
        <w:pStyle w:val="TextBody"/>
        <w:bidi w:val="0"/>
        <w:jc w:val="left"/>
        <w:rPr/>
      </w:pPr>
      <w:bookmarkStart w:id="8" w:name="changes_in_shareholder_equity"/>
      <w:bookmarkEnd w:id="8"/>
      <w:r>
        <w:rPr/>
        <w:t> </w:t>
      </w:r>
    </w:p>
    <w:tbl>
      <w:tblPr>
        <w:tblW w:w="10205" w:type="dxa"/>
        <w:jc w:val="left"/>
        <w:tblInd w:w="0" w:type="dxa"/>
        <w:tblLayout w:type="fixed"/>
        <w:tblCellMar>
          <w:top w:w="28" w:type="dxa"/>
          <w:left w:w="28" w:type="dxa"/>
          <w:bottom w:w="28" w:type="dxa"/>
          <w:right w:w="28" w:type="dxa"/>
        </w:tblCellMar>
      </w:tblPr>
      <w:tblGrid>
        <w:gridCol w:w="1859"/>
        <w:gridCol w:w="146"/>
        <w:gridCol w:w="342"/>
        <w:gridCol w:w="500"/>
        <w:gridCol w:w="146"/>
        <w:gridCol w:w="146"/>
        <w:gridCol w:w="469"/>
        <w:gridCol w:w="688"/>
        <w:gridCol w:w="146"/>
        <w:gridCol w:w="146"/>
        <w:gridCol w:w="261"/>
        <w:gridCol w:w="803"/>
        <w:gridCol w:w="146"/>
        <w:gridCol w:w="146"/>
        <w:gridCol w:w="222"/>
        <w:gridCol w:w="683"/>
        <w:gridCol w:w="166"/>
        <w:gridCol w:w="146"/>
        <w:gridCol w:w="389"/>
        <w:gridCol w:w="1138"/>
        <w:gridCol w:w="166"/>
        <w:gridCol w:w="146"/>
        <w:gridCol w:w="196"/>
        <w:gridCol w:w="691"/>
        <w:gridCol w:w="318"/>
      </w:tblGrid>
      <w:tr>
        <w:trPr/>
        <w:tc>
          <w:tcPr>
            <w:tcW w:w="1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2026 and June 30, 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123,583</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Voting common stock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Non-Voting common stock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8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55,624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77,180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125,744</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124,896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Voting common stock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Non-Voting common stock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Warrant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124,413</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9"/>
        <w:gridCol w:w="146"/>
        <w:gridCol w:w="342"/>
        <w:gridCol w:w="500"/>
        <w:gridCol w:w="146"/>
        <w:gridCol w:w="146"/>
        <w:gridCol w:w="469"/>
        <w:gridCol w:w="688"/>
        <w:gridCol w:w="146"/>
        <w:gridCol w:w="146"/>
        <w:gridCol w:w="261"/>
        <w:gridCol w:w="803"/>
        <w:gridCol w:w="146"/>
        <w:gridCol w:w="146"/>
        <w:gridCol w:w="222"/>
        <w:gridCol w:w="683"/>
        <w:gridCol w:w="166"/>
        <w:gridCol w:w="146"/>
        <w:gridCol w:w="389"/>
        <w:gridCol w:w="1138"/>
        <w:gridCol w:w="166"/>
        <w:gridCol w:w="146"/>
        <w:gridCol w:w="196"/>
        <w:gridCol w:w="691"/>
        <w:gridCol w:w="318"/>
      </w:tblGrid>
      <w:tr>
        <w:trPr/>
        <w:tc>
          <w:tcPr>
            <w:tcW w:w="1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 2026 and June 30, 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122,451</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Voting common stock dividends declared ($0.20</w:t>
            </w:r>
            <w:r>
              <w:rPr>
                <w:rFonts w:ascii="Times New Roman" w:hAnsi="Times New Roman"/>
                <w:color w:val="000000"/>
                <w:sz w:val="20"/>
              </w:rPr>
              <w:t> </w:t>
            </w:r>
            <w:r>
              <w:rPr>
                <w:rFonts w:ascii="Times New Roman" w:hAnsi="Times New Roman"/>
                <w:color w:val="000000"/>
                <w:sz w:val="17"/>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Non-Voting common stock dividends declared ($0.20</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Warrant dividends declared ($0.10</w:t>
            </w:r>
            <w:r>
              <w:rPr>
                <w:rFonts w:ascii="Times New Roman" w:hAnsi="Times New Roman"/>
                <w:color w:val="000000"/>
                <w:sz w:val="20"/>
              </w:rPr>
              <w:t> </w:t>
            </w:r>
            <w:r>
              <w:rPr>
                <w:rFonts w:ascii="Times New Roman" w:hAnsi="Times New Roman"/>
                <w:color w:val="000000"/>
                <w:sz w:val="17"/>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125,744</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121,483</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Voting common stock dividends declared ($0.20</w:t>
            </w:r>
            <w:r>
              <w:rPr>
                <w:rFonts w:ascii="Times New Roman" w:hAnsi="Times New Roman"/>
                <w:color w:val="000000"/>
                <w:sz w:val="20"/>
              </w:rPr>
              <w:t> </w:t>
            </w:r>
            <w:r>
              <w:rPr>
                <w:rFonts w:ascii="Times New Roman" w:hAnsi="Times New Roman"/>
                <w:color w:val="000000"/>
                <w:sz w:val="17"/>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Non-Voting common stock dividends declared ($0.20</w:t>
            </w:r>
            <w:r>
              <w:rPr>
                <w:rFonts w:ascii="Times New Roman" w:hAnsi="Times New Roman"/>
                <w:color w:val="000000"/>
                <w:sz w:val="20"/>
              </w:rPr>
              <w:t> </w:t>
            </w:r>
            <w:r>
              <w:rPr>
                <w:rFonts w:ascii="Times New Roman" w:hAnsi="Times New Roman"/>
                <w:color w:val="000000"/>
                <w:sz w:val="17"/>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Warrant dividends declared ($0.20</w:t>
            </w:r>
            <w:r>
              <w:rPr>
                <w:rFonts w:ascii="Times New Roman" w:hAnsi="Times New Roman"/>
                <w:color w:val="000000"/>
                <w:sz w:val="20"/>
              </w:rPr>
              <w:t> </w:t>
            </w:r>
            <w:r>
              <w:rPr>
                <w:rFonts w:ascii="Times New Roman" w:hAnsi="Times New Roman"/>
                <w:color w:val="000000"/>
                <w:sz w:val="17"/>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124,413</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The accompanying notes are an integral part of the consolidated financial statements.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center"/>
        <w:rPr>
          <w:rFonts w:ascii="Times New Roman" w:hAnsi="Times New Roman"/>
          <w:b/>
          <w:color w:val="000000"/>
          <w:sz w:val="22"/>
        </w:rPr>
      </w:pPr>
      <w:bookmarkStart w:id="9" w:name="consolidated_cash_flows"/>
      <w:bookmarkEnd w:id="9"/>
      <w:r>
        <w:rPr>
          <w:rFonts w:ascii="Times New Roman" w:hAnsi="Times New Roman"/>
          <w:b/>
          <w:color w:val="000000"/>
          <w:sz w:val="22"/>
        </w:rPr>
        <w:t>Pathfinder Bancorp,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 (Unaudited)</w:t>
      </w:r>
    </w:p>
    <w:p>
      <w:pPr>
        <w:pStyle w:val="TextBody"/>
        <w:bidi w:val="0"/>
        <w:jc w:val="left"/>
        <w:rPr/>
      </w:pPr>
      <w:r>
        <w:rPr/>
        <w:t> </w:t>
      </w:r>
    </w:p>
    <w:tbl>
      <w:tblPr>
        <w:tblW w:w="9633" w:type="dxa"/>
        <w:jc w:val="left"/>
        <w:tblInd w:w="0" w:type="dxa"/>
        <w:tblLayout w:type="fixed"/>
        <w:tblCellMar>
          <w:top w:w="28" w:type="dxa"/>
          <w:left w:w="28" w:type="dxa"/>
          <w:bottom w:w="28" w:type="dxa"/>
          <w:right w:w="28" w:type="dxa"/>
        </w:tblCellMar>
      </w:tblPr>
      <w:tblGrid>
        <w:gridCol w:w="6196"/>
        <w:gridCol w:w="146"/>
        <w:gridCol w:w="239"/>
        <w:gridCol w:w="916"/>
        <w:gridCol w:w="202"/>
        <w:gridCol w:w="178"/>
        <w:gridCol w:w="239"/>
        <w:gridCol w:w="806"/>
        <w:gridCol w:w="7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income to 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(Benefit from)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loans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Originations of loans held-for-sale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 on sales, redemptions and calls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Available-for-sale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Held-to-maturity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mortgage servicing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loan fees and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operating and finance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fees from 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on bank owned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amortization of premiums and discounts on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amortization of premiums on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other assets and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color w:val="000000"/>
                <w:sz w:val="16"/>
              </w:rPr>
            </w:pPr>
            <w:r>
              <w:rPr>
                <w:rFonts w:ascii="Times New Roman" w:hAnsi="Times New Roman"/>
                <w:b/>
                <w:color w:val="000000"/>
                <w:sz w:val="16"/>
              </w:rPr>
              <w:t>Net cash inflows from operating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(138,682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(54,842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(16,858</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Federal Home Loan Bank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redemption of Federal Home Loan Bank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and principal reductions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46,725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22,555</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and principal reductions of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sales, redemptions and calls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premises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color w:val="000000"/>
                <w:sz w:val="16"/>
              </w:rPr>
            </w:pPr>
            <w:r>
              <w:rPr>
                <w:rFonts w:ascii="Times New Roman" w:hAnsi="Times New Roman"/>
                <w:b/>
                <w:color w:val="000000"/>
                <w:sz w:val="16"/>
              </w:rPr>
              <w:t>Net cash outflows from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(72,374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change in demand deposits, NOW accounts, savings accounts, money management </w:t>
              <w:br/>
              <w:t>   deposit accounts, MMDA accounts and escrow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41,040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brokered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on long-term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8,064</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 to common voting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 to common non-voting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 on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color w:val="000000"/>
                <w:sz w:val="16"/>
              </w:rPr>
            </w:pPr>
            <w:r>
              <w:rPr>
                <w:rFonts w:ascii="Times New Roman" w:hAnsi="Times New Roman"/>
                <w:b/>
                <w:color w:val="000000"/>
                <w:sz w:val="16"/>
              </w:rPr>
              <w:t>Net cash inflows from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65,149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26,050</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31,475</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PAID DURING THE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16,131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adjustment to loans held</w:t>
              <w:noBreakHyphen/>
              <w:t>for</w:t>
              <w:noBreakHyphen/>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Transfer of loans to loans held-for-sale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The accompanying notes are an integral part of the consolidated financial statements.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bookmarkStart w:id="10" w:name="notes_to_consolidated_financial_statemen"/>
      <w:bookmarkEnd w:id="10"/>
      <w:r>
        <w:rPr>
          <w:rFonts w:ascii="Times New Roman" w:hAnsi="Times New Roman"/>
          <w:b/>
          <w:color w:val="000000"/>
          <w:sz w:val="22"/>
        </w:rPr>
        <w:t>Notes to Consolidated Financial Statements (Unaudited)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Note 1: Basis of Presentation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consolidated financial statements of the Company, the Bank and its other wholly owned subsidiaries have been prepared in accordance with GAAP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GAAP. In the opinion of management, all adjustments, consisting of normal recurring accruals considered necessary for a fair presentation, have been included. Certain amounts in the 2025 consolidated financial statements may have been reclassified to conform to the current period presentation. These reclassifications had no effect on net income or comprehensive income as previously reported. Operating results for the three and six months ended June 30, 2026 are not necessarily indicative of the results that may be expected for the full year ending December 31, 2026 or any other interim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consolidated financial statements are prepared in accordance with GAAP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2: New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FASB and, to a lesser extent, other authoritative rulemaking bodies promulgate GAAP to regulate the standards of accounting in the United States. From time to time, the FASB issues new GAAP standards (known as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7"/>
        <w:gridCol w:w="146"/>
        <w:gridCol w:w="4616"/>
        <w:gridCol w:w="2042"/>
        <w:gridCol w:w="1724"/>
      </w:tblGrid>
      <w:tr>
        <w:trPr/>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Standards Not Yet Adopted as of June 30, 2026</w:t>
            </w:r>
          </w:p>
        </w:tc>
      </w:tr>
      <w:tr>
        <w:trPr/>
        <w:tc>
          <w:tcPr>
            <w:tcW w:w="167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Standard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46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Description</w:t>
            </w:r>
          </w:p>
        </w:tc>
        <w:tc>
          <w:tcPr>
            <w:tcW w:w="204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 xml:space="preserve">Required Date </w:t>
              <w:br/>
              <w:t>of Implementation</w:t>
            </w:r>
          </w:p>
        </w:tc>
        <w:tc>
          <w:tcPr>
            <w:tcW w:w="172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Effect on Consolidated Financial Statements</w:t>
            </w:r>
          </w:p>
        </w:tc>
      </w:tr>
      <w:tr>
        <w:trPr/>
        <w:tc>
          <w:tcPr>
            <w:tcW w:w="167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Income Statement ASU 2024-03 </w:t>
            </w:r>
            <w:r>
              <w:rPr>
                <w:rFonts w:ascii="Times New Roman" w:hAnsi="Times New Roman"/>
                <w:i/>
                <w:color w:val="000000"/>
                <w:sz w:val="17"/>
              </w:rPr>
              <w:t>(Subtopic 220-40): Disaggregation of Income Statement Expenses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ASU 2024-03 was issued to address requests from investors for more detailed information about the types of expenses in commonly presented income statement captions. The ASU requires new financial statement disclosures, disaggregating certain expense categories, such as compensation, depreciation, and amortization of intangible assets. This disaggregation is to be presented in a tabular format and aims to provide enhanced transparency into the relevant components of income statement expenses.</w:t>
            </w:r>
          </w:p>
        </w:tc>
        <w:tc>
          <w:tcPr>
            <w:tcW w:w="20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Fiscal years beginning after December 15, 2026, and interim periods within fiscal years beginning after December 15, 2027.</w:t>
            </w:r>
          </w:p>
        </w:tc>
        <w:tc>
          <w:tcPr>
            <w:tcW w:w="17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Management is evaluating the adoption of the ASU but does not expect it will have a material impact to the Company's consolidated financial statements.</w:t>
            </w:r>
          </w:p>
        </w:tc>
      </w:tr>
      <w:tr>
        <w:trPr/>
        <w:tc>
          <w:tcPr>
            <w:tcW w:w="167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67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Financial Instruments - Credit Losses ASU 2025-08 </w:t>
            </w:r>
            <w:r>
              <w:rPr>
                <w:rFonts w:ascii="Times New Roman" w:hAnsi="Times New Roman"/>
                <w:i/>
                <w:color w:val="000000"/>
                <w:sz w:val="17"/>
              </w:rPr>
              <w:t>(Topic 326): Purchased Loans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ASU 2025-08 simplifies accounting for acquired loans under CECL framework by expanding use of the gross-up method to a new category of purchased seasoned loans ("PSLs"). PSLs are acquired loans purchased more than 90 days after origination (or acquired in a business combination) when the acquirer was not involved in origination. For PSLs, an ACL is recorded at acquisition with an equal increase to amortized cost, eliminating Day 1 credit loss expense. Excludes credit cards, Topic 606 trade receivables, and debt securities.</w:t>
            </w:r>
          </w:p>
        </w:tc>
        <w:tc>
          <w:tcPr>
            <w:tcW w:w="20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The amendments in this update are effective for all entities for annual reporting periods beginning after December 15, 2026, and interim reporting periods within those annual reporting periods.</w:t>
            </w:r>
          </w:p>
        </w:tc>
        <w:tc>
          <w:tcPr>
            <w:tcW w:w="17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Management is currently evaluating the impact of adopting this guidance on the Company's consolidated financial statements.</w:t>
            </w:r>
          </w:p>
        </w:tc>
      </w:tr>
      <w:tr>
        <w:trPr/>
        <w:tc>
          <w:tcPr>
            <w:tcW w:w="167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67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Derivatives and Hedging ASU 2025-09 </w:t>
            </w:r>
            <w:r>
              <w:rPr>
                <w:rFonts w:ascii="Times New Roman" w:hAnsi="Times New Roman"/>
                <w:i/>
                <w:color w:val="000000"/>
                <w:sz w:val="17"/>
              </w:rPr>
              <w:t>(Topic 815): Hedge Accounting Improvements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Provides targeted updates including a new “similar risk exposure” criterion for grouping forecasted transactions in cash flow hedges, an optional model for hedging forecasted interest payments on choose-your-rate debt, expanded eligibility to hedge price components and subcomponents of nonfinancial forecasted transactions using the clearly-and-closely-related principle, revised eligibility for certain compound derivatives containing written options, and corrected effectiveness assessment for dual hedges involving foreign-currency-denominated debt.</w:t>
            </w:r>
          </w:p>
        </w:tc>
        <w:tc>
          <w:tcPr>
            <w:tcW w:w="20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Public business entities are required to apply this guidance to annual reporting periods beginning after December 15, 2026, and interim periods within those annual reporting periods.</w:t>
            </w:r>
          </w:p>
        </w:tc>
        <w:tc>
          <w:tcPr>
            <w:tcW w:w="17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Management is currently evaluating the impact of adopting this guidance on the Company's consolidated financial statements.</w:t>
            </w:r>
          </w:p>
        </w:tc>
      </w:tr>
      <w:tr>
        <w:trPr/>
        <w:tc>
          <w:tcPr>
            <w:tcW w:w="167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67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Codification Improvements ASU 2025-12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Makes targeted technical corrections and clarifications across the codification to address unintended application, outdated references, and minor inconsistencies. The ASU affects 33 issues spanning multiple topics, including EPS, beneficial interests, receivables, transfers and servicing, and not-for-profit accounting, and generally is not expected to significantly change current practice.</w:t>
            </w:r>
          </w:p>
        </w:tc>
        <w:tc>
          <w:tcPr>
            <w:tcW w:w="20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The amendments in this update are effective for all entities for annual reporting periods beginning after December 15, 2026, and interim reporting periods within those annual reporting periods.</w:t>
            </w:r>
          </w:p>
        </w:tc>
        <w:tc>
          <w:tcPr>
            <w:tcW w:w="17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Management is currently evaluating the impact of adopting this guidance on the Company's consolidated financial statements.</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3: Earnings per Common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shareholder approval received on June 4, 2021, the Company converted 1,380,283 shares of its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pStyle w:val="TextBody"/>
        <w:bidi w:val="0"/>
        <w:jc w:val="both"/>
        <w:rPr>
          <w:rFonts w:ascii="Times New Roman" w:hAnsi="Times New Roman"/>
          <w:color w:val="000000"/>
          <w:sz w:val="20"/>
        </w:rPr>
      </w:pPr>
      <w:r>
        <w:rPr>
          <w:rFonts w:ascii="Times New Roman" w:hAnsi="Times New Roman"/>
          <w:color w:val="000000"/>
          <w:sz w:val="20"/>
        </w:rPr>
        <w:t>The Company has voting common stock and non-voting common stock that are eligible to participate in dividends on an equal per share basis. Prior to their expiration on May 8, 2026, the Company also had warrants that participated in dividends on the same basis. The Company calculates net income available to voting common shareholders using the two-class method required for capital structures that include Participating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EPS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Anti-dilutive shares are common stock equivalents with average exercise prices in excess of the weighted average market price for the period presented. There were no anti-dilutive stock options excised for the three and six months ended June 30, 2026, and June 30,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calculation of basic and diluted EPS: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66"/>
        <w:gridCol w:w="546"/>
        <w:gridCol w:w="244"/>
        <w:gridCol w:w="636"/>
        <w:gridCol w:w="181"/>
        <w:gridCol w:w="181"/>
        <w:gridCol w:w="244"/>
        <w:gridCol w:w="636"/>
        <w:gridCol w:w="166"/>
        <w:gridCol w:w="146"/>
        <w:gridCol w:w="225"/>
        <w:gridCol w:w="588"/>
        <w:gridCol w:w="168"/>
        <w:gridCol w:w="168"/>
        <w:gridCol w:w="225"/>
        <w:gridCol w:w="588"/>
        <w:gridCol w:w="597"/>
      </w:tblGrid>
      <w:tr>
        <w:trPr/>
        <w:tc>
          <w:tcPr>
            <w:tcW w:w="46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per share data)</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Series A Non-Voting Common Stock dividends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Warrant dividends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Undistributed earnings (losses) allocated to Participating Securities</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 available to common shareholders - Voting</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2,283</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Voting Common Stock dividends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Warrant dividends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Undistributed earnings (losses) allocated to Participating Securities</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1,363</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 available to common shareholders - Non-Voting</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weighted average common shares outstanding - Voting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4,759</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weighted average common shares outstanding - Series A Non-Voting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weighted average common shares outstanding - Voting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weighted average common shares outstanding - Series A Non-Voting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and diluted earnings per common share - Voting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and diluted earnings per common share - Series A Non-Voting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0.48</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earnings per common share - Voting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0.47</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earnings per common share - Series A Non-Voting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0.47</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4: Investment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amortized cost and estimated fair value of investment securities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14"/>
        <w:gridCol w:w="146"/>
        <w:gridCol w:w="246"/>
        <w:gridCol w:w="868"/>
        <w:gridCol w:w="146"/>
        <w:gridCol w:w="146"/>
        <w:gridCol w:w="408"/>
        <w:gridCol w:w="1067"/>
        <w:gridCol w:w="146"/>
        <w:gridCol w:w="146"/>
        <w:gridCol w:w="380"/>
        <w:gridCol w:w="1114"/>
        <w:gridCol w:w="166"/>
        <w:gridCol w:w="146"/>
        <w:gridCol w:w="302"/>
        <w:gridCol w:w="1068"/>
        <w:gridCol w:w="596"/>
      </w:tblGrid>
      <w:tr>
        <w:trPr/>
        <w:tc>
          <w:tcPr>
            <w:tcW w:w="3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Estimated 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113,937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365,941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Equity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Common stock - financial services 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available-for-sale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366,147</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Held-to-Maturity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13,273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106,011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Allowance for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held-to-maturity, net of allowance for credit losses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106,011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14"/>
        <w:gridCol w:w="146"/>
        <w:gridCol w:w="246"/>
        <w:gridCol w:w="868"/>
        <w:gridCol w:w="146"/>
        <w:gridCol w:w="146"/>
        <w:gridCol w:w="408"/>
        <w:gridCol w:w="1067"/>
        <w:gridCol w:w="146"/>
        <w:gridCol w:w="146"/>
        <w:gridCol w:w="380"/>
        <w:gridCol w:w="1114"/>
        <w:gridCol w:w="166"/>
        <w:gridCol w:w="146"/>
        <w:gridCol w:w="302"/>
        <w:gridCol w:w="1068"/>
        <w:gridCol w:w="596"/>
      </w:tblGrid>
      <w:tr>
        <w:trPr/>
        <w:tc>
          <w:tcPr>
            <w:tcW w:w="3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Estimated 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65,015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49,015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276,609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Equity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 financial services industry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available-for-sale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276,815</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Held-to-Maturity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53,586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125,198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Allowance for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held-to-maturity, net of allowance for credit losses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125,198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amortized cost and estimated fair value of debt securities at June 30, 2026 by contractual maturity are shown below. Expected maturities may differ from contractual maturities because borrowers may have the right to call or prepay obligations with or without penalties. Amounts disclosed are gross values and do not include ACL.</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93"/>
        <w:gridCol w:w="146"/>
        <w:gridCol w:w="264"/>
        <w:gridCol w:w="933"/>
        <w:gridCol w:w="146"/>
        <w:gridCol w:w="146"/>
        <w:gridCol w:w="342"/>
        <w:gridCol w:w="1208"/>
        <w:gridCol w:w="146"/>
        <w:gridCol w:w="146"/>
        <w:gridCol w:w="264"/>
        <w:gridCol w:w="933"/>
        <w:gridCol w:w="146"/>
        <w:gridCol w:w="146"/>
        <w:gridCol w:w="342"/>
        <w:gridCol w:w="1208"/>
        <w:gridCol w:w="396"/>
      </w:tblGrid>
      <w:tr>
        <w:trPr/>
        <w:tc>
          <w:tcPr>
            <w:tcW w:w="3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ten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106,011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investment securities’ gross unrealized losses and fair value, aggregated by investment category and length of time that individual securities have been in a continuous unrealized loss position, are as follows:</w:t>
      </w:r>
    </w:p>
    <w:p>
      <w:pPr>
        <w:pStyle w:val="TextBody"/>
        <w:bidi w:val="0"/>
        <w:jc w:val="both"/>
        <w:rPr/>
      </w:pPr>
      <w:r>
        <w:rPr/>
        <w:t> </w:t>
      </w:r>
    </w:p>
    <w:tbl>
      <w:tblPr>
        <w:tblW w:w="11986" w:type="dxa"/>
        <w:jc w:val="left"/>
        <w:tblInd w:w="0" w:type="dxa"/>
        <w:tblLayout w:type="fixed"/>
        <w:tblCellMar>
          <w:top w:w="28" w:type="dxa"/>
          <w:left w:w="28" w:type="dxa"/>
          <w:bottom w:w="28" w:type="dxa"/>
          <w:right w:w="28" w:type="dxa"/>
        </w:tblCellMar>
      </w:tblPr>
      <w:tblGrid>
        <w:gridCol w:w="1411"/>
        <w:gridCol w:w="146"/>
        <w:gridCol w:w="284"/>
        <w:gridCol w:w="557"/>
        <w:gridCol w:w="146"/>
        <w:gridCol w:w="146"/>
        <w:gridCol w:w="226"/>
        <w:gridCol w:w="660"/>
        <w:gridCol w:w="166"/>
        <w:gridCol w:w="146"/>
        <w:gridCol w:w="196"/>
        <w:gridCol w:w="691"/>
        <w:gridCol w:w="146"/>
        <w:gridCol w:w="146"/>
        <w:gridCol w:w="284"/>
        <w:gridCol w:w="557"/>
        <w:gridCol w:w="146"/>
        <w:gridCol w:w="146"/>
        <w:gridCol w:w="226"/>
        <w:gridCol w:w="660"/>
        <w:gridCol w:w="166"/>
        <w:gridCol w:w="146"/>
        <w:gridCol w:w="196"/>
        <w:gridCol w:w="691"/>
        <w:gridCol w:w="146"/>
        <w:gridCol w:w="146"/>
        <w:gridCol w:w="235"/>
        <w:gridCol w:w="606"/>
        <w:gridCol w:w="146"/>
        <w:gridCol w:w="146"/>
        <w:gridCol w:w="226"/>
        <w:gridCol w:w="660"/>
        <w:gridCol w:w="166"/>
        <w:gridCol w:w="146"/>
        <w:gridCol w:w="196"/>
        <w:gridCol w:w="691"/>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8"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or More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Held-to-Maturity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tbl>
      <w:tblPr>
        <w:tblW w:w="11896" w:type="dxa"/>
        <w:jc w:val="left"/>
        <w:tblInd w:w="0" w:type="dxa"/>
        <w:tblLayout w:type="fixed"/>
        <w:tblCellMar>
          <w:top w:w="28" w:type="dxa"/>
          <w:left w:w="28" w:type="dxa"/>
          <w:bottom w:w="28" w:type="dxa"/>
          <w:right w:w="28" w:type="dxa"/>
        </w:tblCellMar>
      </w:tblPr>
      <w:tblGrid>
        <w:gridCol w:w="1411"/>
        <w:gridCol w:w="146"/>
        <w:gridCol w:w="284"/>
        <w:gridCol w:w="557"/>
        <w:gridCol w:w="146"/>
        <w:gridCol w:w="146"/>
        <w:gridCol w:w="274"/>
        <w:gridCol w:w="612"/>
        <w:gridCol w:w="166"/>
        <w:gridCol w:w="146"/>
        <w:gridCol w:w="196"/>
        <w:gridCol w:w="601"/>
        <w:gridCol w:w="146"/>
        <w:gridCol w:w="146"/>
        <w:gridCol w:w="284"/>
        <w:gridCol w:w="557"/>
        <w:gridCol w:w="146"/>
        <w:gridCol w:w="146"/>
        <w:gridCol w:w="226"/>
        <w:gridCol w:w="660"/>
        <w:gridCol w:w="166"/>
        <w:gridCol w:w="146"/>
        <w:gridCol w:w="196"/>
        <w:gridCol w:w="691"/>
        <w:gridCol w:w="146"/>
        <w:gridCol w:w="146"/>
        <w:gridCol w:w="235"/>
        <w:gridCol w:w="606"/>
        <w:gridCol w:w="146"/>
        <w:gridCol w:w="146"/>
        <w:gridCol w:w="226"/>
        <w:gridCol w:w="660"/>
        <w:gridCol w:w="166"/>
        <w:gridCol w:w="146"/>
        <w:gridCol w:w="196"/>
        <w:gridCol w:w="691"/>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8"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or More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Number of Individual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Held-to-Maturity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 (3) general bond market liquidity, (4) the recent and expected near-term volume of new issuances of similar debt securities, and (5) changes in the market values of individual loan collateral underlying mortgage-backed and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the fair value of any individual security categorized as AFS or HTM is less than its amortized cost basis, an assessment is made as to whether or not a charge to current earnings for credit losses is required. In assessing potential credit losses, management also makes a quantitative determination of potential credit losses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NRSRO, and (4) the presence of contractual credit enhancements, if any, including the guarantee of the federal government or any of its agencies.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Company carries all of its AFS investments at fair value with any unrealized gains or losses reported, net of income tax effects, as an adjustment to shareholders' equity and included AOCI,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portion of the investment securities portfolio, categorized as AFS, with an aggregate amortized historical cost of $374.2 million, had an aggregate fair value that was less than its aggregate amortized historical cost by $8.1 million</w:t>
      </w:r>
      <w:r>
        <w:rPr>
          <w:rFonts w:ascii="Times New Roman" w:hAnsi="Times New Roman"/>
          <w:color w:val="404040"/>
          <w:sz w:val="20"/>
        </w:rPr>
        <w:t xml:space="preserve">, </w:t>
      </w:r>
      <w:r>
        <w:rPr>
          <w:rFonts w:ascii="Times New Roman" w:hAnsi="Times New Roman"/>
          <w:color w:val="000000"/>
          <w:sz w:val="20"/>
        </w:rPr>
        <w:t xml:space="preserve">decreasing 2.2%, at June 30, 2026. The AFS securities portfolio, with an aggregate amortized historical cost of $282.6 million, had an aggregate fair value that was less than its aggregate amortized historical cost by $5.8 million, or a decrease of 2.1%, at December 31, 2025. The resultant $2.3 million increase in the difference between aggregate amortized cost and aggregate fair value of the AFS investment portfolio during the six months ended June 30, 2026,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six months ended June 30, 2026 did not represent any changes in credit loss estimations within the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portion of the investment securities portfolio, categorized as HTM, with an aggregate amortized historical cost of $111.5 million, had an aggregate fair value that was less than its aggregate amortized historical cost by $5.5 million, decreasing 4.9%, at June 30, 2026. The portion of the investment securities portfolio, categorized as HTM, with an aggregate amortized historical cost of $130.5 million, had an aggregate fair value that was less than its aggregate amortized historical cost by $5.3 million, or a decrease of 4.1%, at December 31, 2025. The resultant $212,000 increase in the difference between aggregate amortized cost and aggregate fair value of the HTM investment portfolio during the six months ended June 30, 2026,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six months ended June 30, 2026 did not represent any changes in credit loss estimations within the portfolio. The Company does not intend to sell these securities, nor is it more likely than not that the Company will be required to sell these securities prior to the recovery of the amortized cost.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represent a rollforward of the ACL on investment securities classified as HTM for the three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70"/>
        <w:gridCol w:w="246"/>
        <w:gridCol w:w="897"/>
        <w:gridCol w:w="762"/>
        <w:gridCol w:w="246"/>
        <w:gridCol w:w="246"/>
        <w:gridCol w:w="542"/>
        <w:gridCol w:w="792"/>
        <w:gridCol w:w="246"/>
        <w:gridCol w:w="246"/>
        <w:gridCol w:w="717"/>
        <w:gridCol w:w="718"/>
        <w:gridCol w:w="246"/>
        <w:gridCol w:w="246"/>
        <w:gridCol w:w="337"/>
        <w:gridCol w:w="648"/>
        <w:gridCol w:w="266"/>
        <w:gridCol w:w="246"/>
        <w:gridCol w:w="196"/>
        <w:gridCol w:w="376"/>
        <w:gridCol w:w="316"/>
      </w:tblGrid>
      <w:tr>
        <w:trPr/>
        <w:tc>
          <w:tcPr>
            <w:tcW w:w="16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Issued and Government Sponsored Enterprise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and Asset-backed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Issued By State and Political Subdivisions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Securities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(Benefit from) provision for credit losses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6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Allowance on purchased financial assets with credit deterioration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Charge-offs of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Recoveries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81"/>
        <w:gridCol w:w="246"/>
        <w:gridCol w:w="904"/>
        <w:gridCol w:w="768"/>
        <w:gridCol w:w="246"/>
        <w:gridCol w:w="246"/>
        <w:gridCol w:w="725"/>
        <w:gridCol w:w="615"/>
        <w:gridCol w:w="246"/>
        <w:gridCol w:w="246"/>
        <w:gridCol w:w="721"/>
        <w:gridCol w:w="722"/>
        <w:gridCol w:w="246"/>
        <w:gridCol w:w="246"/>
        <w:gridCol w:w="338"/>
        <w:gridCol w:w="650"/>
        <w:gridCol w:w="246"/>
        <w:gridCol w:w="246"/>
        <w:gridCol w:w="196"/>
        <w:gridCol w:w="376"/>
        <w:gridCol w:w="295"/>
      </w:tblGrid>
      <w:tr>
        <w:trPr/>
        <w:tc>
          <w:tcPr>
            <w:tcW w:w="1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Issued and Government Sponsored Enterprise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and Asset-backed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Issued By State and Political Subdivisions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Provision for credit losses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Allowance on purchased financial assets with credit deterioration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Charge-offs of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Recoveries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following tables represent a rollforward of the ACL on investment securities classified as HTM for the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70"/>
        <w:gridCol w:w="246"/>
        <w:gridCol w:w="897"/>
        <w:gridCol w:w="762"/>
        <w:gridCol w:w="246"/>
        <w:gridCol w:w="246"/>
        <w:gridCol w:w="542"/>
        <w:gridCol w:w="792"/>
        <w:gridCol w:w="246"/>
        <w:gridCol w:w="246"/>
        <w:gridCol w:w="717"/>
        <w:gridCol w:w="718"/>
        <w:gridCol w:w="246"/>
        <w:gridCol w:w="246"/>
        <w:gridCol w:w="337"/>
        <w:gridCol w:w="648"/>
        <w:gridCol w:w="266"/>
        <w:gridCol w:w="246"/>
        <w:gridCol w:w="196"/>
        <w:gridCol w:w="376"/>
        <w:gridCol w:w="316"/>
      </w:tblGrid>
      <w:tr>
        <w:trPr/>
        <w:tc>
          <w:tcPr>
            <w:tcW w:w="16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Issued and Government Sponsored Enterprise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and Asset-backed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Issued By State and Political Subdivisions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Securities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(Benefit from) provision for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Allowance on purchased financial assets with credit deterioration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Charge-offs of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Recoveries</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81"/>
        <w:gridCol w:w="246"/>
        <w:gridCol w:w="904"/>
        <w:gridCol w:w="768"/>
        <w:gridCol w:w="246"/>
        <w:gridCol w:w="246"/>
        <w:gridCol w:w="725"/>
        <w:gridCol w:w="615"/>
        <w:gridCol w:w="246"/>
        <w:gridCol w:w="246"/>
        <w:gridCol w:w="721"/>
        <w:gridCol w:w="722"/>
        <w:gridCol w:w="246"/>
        <w:gridCol w:w="246"/>
        <w:gridCol w:w="338"/>
        <w:gridCol w:w="650"/>
        <w:gridCol w:w="246"/>
        <w:gridCol w:w="246"/>
        <w:gridCol w:w="196"/>
        <w:gridCol w:w="376"/>
        <w:gridCol w:w="295"/>
      </w:tblGrid>
      <w:tr>
        <w:trPr/>
        <w:tc>
          <w:tcPr>
            <w:tcW w:w="1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Issued and Government Sponsored Enterprise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and Asset-backed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Issued By State and Political Subdivisions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Securities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Provision for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Allowance on purchased financial assets with credit deterioration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Charge-offs of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Recoveries</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monitors the credit quality of the debt securities categorized as HTM primarily through the use of NRSRO credit ratings. These assessments are made on a quarterly basis. The following tables summarize the amortized cost of debt securities categorized as HTM at June 30, 2026 and December 31, 2025, aggregated by credit quality indicators: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87"/>
        <w:gridCol w:w="146"/>
        <w:gridCol w:w="239"/>
        <w:gridCol w:w="847"/>
        <w:gridCol w:w="146"/>
        <w:gridCol w:w="146"/>
        <w:gridCol w:w="309"/>
        <w:gridCol w:w="1092"/>
        <w:gridCol w:w="193"/>
      </w:tblGrid>
      <w:tr>
        <w:trPr/>
        <w:tc>
          <w:tcPr>
            <w:tcW w:w="7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AAA or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AA or equivalent, including securities issued by the United States Government or Government Sponsored Enterprises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32,443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 or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BBB or equivalent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BB or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Unrated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130,500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realized losses on sales and redemptions of AFS and HTM securities for the indicated periods are detailed below:</w:t>
      </w:r>
    </w:p>
    <w:p>
      <w:pPr>
        <w:pStyle w:val="TextBody"/>
        <w:bidi w:val="0"/>
        <w:jc w:val="both"/>
        <w:rPr/>
      </w:pPr>
      <w:r>
        <w:rPr/>
        <w:t> </w:t>
      </w:r>
    </w:p>
    <w:tbl>
      <w:tblPr>
        <w:tblW w:w="8207" w:type="dxa"/>
        <w:jc w:val="left"/>
        <w:tblInd w:w="0" w:type="dxa"/>
        <w:tblLayout w:type="fixed"/>
        <w:tblCellMar>
          <w:top w:w="28" w:type="dxa"/>
          <w:left w:w="28" w:type="dxa"/>
          <w:bottom w:w="28" w:type="dxa"/>
          <w:right w:w="28" w:type="dxa"/>
        </w:tblCellMar>
      </w:tblPr>
      <w:tblGrid>
        <w:gridCol w:w="2221"/>
        <w:gridCol w:w="146"/>
        <w:gridCol w:w="532"/>
        <w:gridCol w:w="451"/>
        <w:gridCol w:w="396"/>
        <w:gridCol w:w="396"/>
        <w:gridCol w:w="532"/>
        <w:gridCol w:w="451"/>
        <w:gridCol w:w="146"/>
        <w:gridCol w:w="146"/>
        <w:gridCol w:w="416"/>
        <w:gridCol w:w="543"/>
        <w:gridCol w:w="352"/>
        <w:gridCol w:w="309"/>
        <w:gridCol w:w="416"/>
        <w:gridCol w:w="543"/>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realized losses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securities with a fair value of $134.8 million and $118.3 million, respectively, were pledged to collateralize certain municipal deposit relationships. As of the same dates, securities with a fair value of $172.0 million and $121.3 million, respectively, were pledged against certain borrowing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5: Pension and Postretirement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composition of net periodic pension plan and postretirement plan costs for the indicated periods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18"/>
        <w:gridCol w:w="146"/>
        <w:gridCol w:w="196"/>
        <w:gridCol w:w="436"/>
        <w:gridCol w:w="166"/>
        <w:gridCol w:w="146"/>
        <w:gridCol w:w="196"/>
        <w:gridCol w:w="436"/>
        <w:gridCol w:w="166"/>
        <w:gridCol w:w="146"/>
        <w:gridCol w:w="262"/>
        <w:gridCol w:w="340"/>
        <w:gridCol w:w="220"/>
        <w:gridCol w:w="193"/>
        <w:gridCol w:w="262"/>
        <w:gridCol w:w="340"/>
        <w:gridCol w:w="166"/>
        <w:gridCol w:w="146"/>
        <w:gridCol w:w="196"/>
        <w:gridCol w:w="436"/>
        <w:gridCol w:w="166"/>
        <w:gridCol w:w="146"/>
        <w:gridCol w:w="196"/>
        <w:gridCol w:w="436"/>
        <w:gridCol w:w="166"/>
        <w:gridCol w:w="146"/>
        <w:gridCol w:w="262"/>
        <w:gridCol w:w="340"/>
        <w:gridCol w:w="220"/>
        <w:gridCol w:w="193"/>
        <w:gridCol w:w="262"/>
        <w:gridCol w:w="340"/>
        <w:gridCol w:w="219"/>
      </w:tblGrid>
      <w:tr>
        <w:trPr/>
        <w:tc>
          <w:tcPr>
            <w:tcW w:w="2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For the 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Pension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Postretirement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Pension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Postretirement Benefits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of prior service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of net losses (gains)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periodic benefit plan (benefit)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evaluate the need for further contributions to the defined benefit pension plan during 2026. The prepaid pension asset of $9.5 million and $9.2 million as of June 30, 2026 and December 31, 2025 respectively, is recorded in other assets on the consolidated statements of condition.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Note 6: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Major classifications of loans at the indicated dates are as follows:</w:t>
      </w:r>
    </w:p>
    <w:p>
      <w:pPr>
        <w:pStyle w:val="TextBody"/>
        <w:bidi w:val="0"/>
        <w:jc w:val="both"/>
        <w:rPr/>
      </w:pPr>
      <w:r>
        <w:rPr/>
        <w:t> </w:t>
      </w:r>
    </w:p>
    <w:tbl>
      <w:tblPr>
        <w:tblW w:w="6675" w:type="dxa"/>
        <w:jc w:val="left"/>
        <w:tblInd w:w="0" w:type="dxa"/>
        <w:tblLayout w:type="fixed"/>
        <w:tblCellMar>
          <w:top w:w="28" w:type="dxa"/>
          <w:left w:w="28" w:type="dxa"/>
          <w:bottom w:w="28" w:type="dxa"/>
          <w:right w:w="28" w:type="dxa"/>
        </w:tblCellMar>
      </w:tblPr>
      <w:tblGrid>
        <w:gridCol w:w="3201"/>
        <w:gridCol w:w="146"/>
        <w:gridCol w:w="248"/>
        <w:gridCol w:w="877"/>
        <w:gridCol w:w="166"/>
        <w:gridCol w:w="146"/>
        <w:gridCol w:w="331"/>
        <w:gridCol w:w="1169"/>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first-lien residential mortgages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239,692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residential mortgage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380,311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Paycheck Protection Program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exempt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commercial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544,580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543,671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Home equity and junior liens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49,783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consumer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112,608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Subtotal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898,010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deferred loan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 net of deferred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896,670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Less allowance for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 receivable, net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867,234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Periodically, the Bank acquires diversified pools of loans and participation interests in credit facilities, originated by unrelated third parties, as part of the Company’s overall balance sheet management strategies. During the first and second quarters of 2026, the Company acquired participation interests in two revolving commercial lines of credit. The following tables detail the purchased loan positions held by the Bank at June 30, 2026 and December 31, 2025. The date of earliest acquisition is depicted within the tables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25"/>
        <w:gridCol w:w="146"/>
        <w:gridCol w:w="223"/>
        <w:gridCol w:w="789"/>
        <w:gridCol w:w="146"/>
        <w:gridCol w:w="146"/>
        <w:gridCol w:w="231"/>
        <w:gridCol w:w="709"/>
        <w:gridCol w:w="146"/>
        <w:gridCol w:w="146"/>
        <w:gridCol w:w="379"/>
        <w:gridCol w:w="1108"/>
        <w:gridCol w:w="166"/>
        <w:gridCol w:w="146"/>
        <w:gridCol w:w="195"/>
        <w:gridCol w:w="686"/>
        <w:gridCol w:w="146"/>
        <w:gridCol w:w="146"/>
        <w:gridCol w:w="1117"/>
        <w:gridCol w:w="146"/>
        <w:gridCol w:w="351"/>
        <w:gridCol w:w="916"/>
        <w:gridCol w:w="196"/>
      </w:tblGrid>
      <w:tr>
        <w:trP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8"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number of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Original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Current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Unamortized Premium/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Maturity Range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Cumulative net charge-offs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 loans (6/2019)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lines of credit (8/2019)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real estate loans (12/2019)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Unsecured consumer loan pool 1 (12/2019)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Unsecured consumer installment loans pool 3 (12/2019)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Secured consumer installment loans pool 4 (12/2020)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Unsecured consumer loans pool 5 (1/2021)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Secured consumer installment loans (11/2021)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Unsecured consumer loans pool 6 (11/2021)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Revolving commercial line of credit 1 (7/2024)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Revolving commercial line of credit 2 (3/2026)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Revolving commercial line of credit 3 (5/2026)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8"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number of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Original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Current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Unamortized Premium/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Maturity Range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Cumulative net charge-offs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 loans (6/2019)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lines of credit (8/2019)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real estate loans (12/2019)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Unsecured consumer loan pool 1 (12/2019)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Unsecured consumer installment loans pool 3 (12/2019)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Secured consumer installment loans pool 4 (12/2020)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Unsecured consumer loans pool 5 (1/2021)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Secured consumer installment loans (11/2021)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Unsecured consumer loans pool 6 (11/2021)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Revolving commercial line of credit 1 (7/2024)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1"/>
        </w:rPr>
        <w:t xml:space="preserve">1 </w:t>
      </w:r>
      <w:r>
        <w:rPr>
          <w:rFonts w:ascii="Times New Roman" w:hAnsi="Times New Roman"/>
          <w:color w:val="000000"/>
          <w:sz w:val="16"/>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w:t>
      </w:r>
      <w:r>
        <w:rPr>
          <w:rFonts w:ascii="Times New Roman" w:hAnsi="Times New Roman"/>
          <w:color w:val="000000"/>
          <w:sz w:val="20"/>
        </w:rPr>
        <w:t xml:space="preserve"> </w:t>
      </w:r>
      <w:r>
        <w:rPr>
          <w:rFonts w:ascii="Times New Roman" w:hAnsi="Times New Roman"/>
          <w:color w:val="000000"/>
          <w:sz w:val="16"/>
        </w:rPr>
        <w:t>million) and December 8, 2021 (notional amount of $8.5</w:t>
      </w:r>
      <w:r>
        <w:rPr>
          <w:rFonts w:ascii="Times New Roman" w:hAnsi="Times New Roman"/>
          <w:color w:val="000000"/>
          <w:sz w:val="20"/>
        </w:rPr>
        <w:t xml:space="preserve"> </w:t>
      </w:r>
      <w:r>
        <w:rPr>
          <w:rFonts w:ascii="Times New Roman" w:hAnsi="Times New Roman"/>
          <w:color w:val="000000"/>
          <w:sz w:val="16"/>
        </w:rPr>
        <w:t>million). The Bank realized gains related to the settlement of these two hedging contracts were $117,000</w:t>
      </w:r>
      <w:r>
        <w:rPr>
          <w:rFonts w:ascii="Times New Roman" w:hAnsi="Times New Roman"/>
          <w:color w:val="000000"/>
          <w:sz w:val="20"/>
        </w:rPr>
        <w:t xml:space="preserve"> </w:t>
      </w:r>
      <w:r>
        <w:rPr>
          <w:rFonts w:ascii="Times New Roman" w:hAnsi="Times New Roman"/>
          <w:color w:val="000000"/>
          <w:sz w:val="16"/>
        </w:rPr>
        <w:t>and $694,000, respectively. These gains on the extinguishments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$570,000</w:t>
      </w:r>
      <w:r>
        <w:rPr>
          <w:rFonts w:ascii="Times New Roman" w:hAnsi="Times New Roman"/>
          <w:color w:val="000000"/>
          <w:sz w:val="20"/>
        </w:rPr>
        <w:t xml:space="preserve"> </w:t>
      </w:r>
      <w:r>
        <w:rPr>
          <w:rFonts w:ascii="Times New Roman" w:hAnsi="Times New Roman"/>
          <w:color w:val="000000"/>
          <w:sz w:val="16"/>
        </w:rPr>
        <w:t>at June 30, 2026.</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At June 30, 2026 and December 31, 2025, the ACL related to the purchased loan pools were $2.3 million and $2.8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$105.5 million in residential and commercial real estate mortgage loans pledged to FHLB-NY, and $9.4 million in home equity loans pledged to the FRB-NY.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the Company had $108.4 million in residential and commercial real estate mortgage loans pledged to FHLB-NY, and $9.9 million in home equity loans pledged to FRB-NY.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Loan Origination / Risk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lending policies and procedures are presented in Note 5 to the audited consolidated financial statements included in the 2025 Annual Report filed with the SEC on March 30, 2026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pStyle w:val="TextBody"/>
        <w:bidi w:val="0"/>
        <w:jc w:val="both"/>
        <w:rPr>
          <w:rFonts w:ascii="Times New Roman" w:hAnsi="Times New Roman"/>
          <w:color w:val="000000"/>
          <w:sz w:val="20"/>
        </w:rPr>
      </w:pPr>
      <w:r>
        <w:rPr>
          <w:rFonts w:ascii="Times New Roman" w:hAnsi="Times New Roman"/>
          <w:color w:val="000000"/>
          <w:sz w:val="20"/>
        </w:rPr>
        <w:t>To develop and document a systematic methodology for determining the ACL,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ACL. Unique characteristics such as borrower type, loan type, collateral type, and risk characteristics define each class.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illustrates the portfolio segments and classes for the Company’s loan portfolio:</w:t>
      </w:r>
    </w:p>
    <w:p>
      <w:pPr>
        <w:pStyle w:val="TextBody"/>
        <w:bidi w:val="0"/>
        <w:jc w:val="both"/>
        <w:rPr/>
      </w:pPr>
      <w:r>
        <w:rPr/>
        <w:t> </w:t>
      </w:r>
    </w:p>
    <w:tbl>
      <w:tblPr>
        <w:tblW w:w="5942" w:type="dxa"/>
        <w:jc w:val="left"/>
        <w:tblInd w:w="0" w:type="dxa"/>
        <w:tblLayout w:type="fixed"/>
        <w:tblCellMar>
          <w:top w:w="28" w:type="dxa"/>
          <w:left w:w="28" w:type="dxa"/>
          <w:bottom w:w="28" w:type="dxa"/>
          <w:right w:w="28" w:type="dxa"/>
        </w:tblCellMar>
      </w:tblPr>
      <w:tblGrid>
        <w:gridCol w:w="2431"/>
        <w:gridCol w:w="3511"/>
      </w:tblGrid>
      <w:tr>
        <w:trPr/>
        <w:tc>
          <w:tcPr>
            <w:tcW w:w="243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2431"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Portfolio Segment</w:t>
            </w:r>
          </w:p>
        </w:tc>
        <w:tc>
          <w:tcPr>
            <w:tcW w:w="3511" w:type="dxa"/>
            <w:tcBorders>
              <w:top w:val="single" w:sz="4" w:space="0" w:color="000000"/>
              <w:right w:val="single" w:sz="4" w:space="0" w:color="000000"/>
            </w:tcBorders>
            <w:tcMar>
              <w:left w:w="0" w:type="dxa"/>
              <w:bottom w:w="0" w:type="dxa"/>
              <w:right w:w="108"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Class</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Mortgage Loans</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 family first-lien residential mortgages</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Loans</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Lines of credit</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commercial and industrial</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exempt loans</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243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Loans</w:t>
            </w:r>
          </w:p>
        </w:tc>
        <w:tc>
          <w:tcPr>
            <w:tcW w:w="351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Home equity and junior liens</w:t>
            </w:r>
          </w:p>
        </w:tc>
      </w:tr>
      <w:tr>
        <w:trPr/>
        <w:tc>
          <w:tcPr>
            <w:tcW w:w="2431"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pPr>
            <w:r>
              <w:rPr/>
              <w:t> </w:t>
            </w:r>
          </w:p>
        </w:tc>
        <w:tc>
          <w:tcPr>
            <w:tcW w:w="3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consumer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19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present the classes of the loan portfolio as of June 30, 2026, summarized by the aggregate pass rating and the classified ratings of special mention, substandard and doubtful within the Company's internal risk rating system as of the dates indicated: </w:t>
      </w:r>
    </w:p>
    <w:p>
      <w:pPr>
        <w:pStyle w:val="TextBody"/>
        <w:bidi w:val="0"/>
        <w:jc w:val="both"/>
        <w:rPr/>
      </w:pPr>
      <w:r>
        <w:rPr/>
        <w:t> </w:t>
      </w:r>
    </w:p>
    <w:tbl>
      <w:tblPr>
        <w:tblW w:w="10651" w:type="dxa"/>
        <w:jc w:val="left"/>
        <w:tblInd w:w="0" w:type="dxa"/>
        <w:tblLayout w:type="fixed"/>
        <w:tblCellMar>
          <w:top w:w="28" w:type="dxa"/>
          <w:left w:w="28" w:type="dxa"/>
          <w:bottom w:w="28" w:type="dxa"/>
          <w:right w:w="28" w:type="dxa"/>
        </w:tblCellMar>
      </w:tblPr>
      <w:tblGrid>
        <w:gridCol w:w="1056"/>
        <w:gridCol w:w="146"/>
        <w:gridCol w:w="181"/>
        <w:gridCol w:w="526"/>
        <w:gridCol w:w="146"/>
        <w:gridCol w:w="146"/>
        <w:gridCol w:w="181"/>
        <w:gridCol w:w="526"/>
        <w:gridCol w:w="146"/>
        <w:gridCol w:w="146"/>
        <w:gridCol w:w="181"/>
        <w:gridCol w:w="526"/>
        <w:gridCol w:w="146"/>
        <w:gridCol w:w="146"/>
        <w:gridCol w:w="181"/>
        <w:gridCol w:w="601"/>
        <w:gridCol w:w="151"/>
        <w:gridCol w:w="146"/>
        <w:gridCol w:w="181"/>
        <w:gridCol w:w="526"/>
        <w:gridCol w:w="151"/>
        <w:gridCol w:w="146"/>
        <w:gridCol w:w="181"/>
        <w:gridCol w:w="601"/>
        <w:gridCol w:w="151"/>
        <w:gridCol w:w="146"/>
        <w:gridCol w:w="181"/>
        <w:gridCol w:w="601"/>
        <w:gridCol w:w="146"/>
        <w:gridCol w:w="146"/>
        <w:gridCol w:w="215"/>
        <w:gridCol w:w="536"/>
        <w:gridCol w:w="146"/>
        <w:gridCol w:w="146"/>
        <w:gridCol w:w="181"/>
        <w:gridCol w:w="601"/>
        <w:gridCol w:w="391"/>
      </w:tblGrid>
      <w:tr>
        <w:trPr/>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 Loans By Origination Year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Prior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Revolving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Revolving loans converted to 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149,785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341,092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commercial 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56,819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165,704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388,154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Commercial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commercial lines of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77,886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63,762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other commercial and industrial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Paycheck Protection Program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Paycheck Protection Program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Tax exempt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tax exempt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family first-lien residential mortgages: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228,811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1-4 family first-lien residential mortgages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163,587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233,501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Residential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residential construction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equity and junior liens: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home equity and junior liens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other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deferred loan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Loans, net of deferred fees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120,110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888,975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following tables present the classes of the loan portfolio as of December 31, 2025, summarized by the aggregate pass rating and the classified ratings of special mention, substandard and doubtful within the Company's internal risk rating system as of the dates indicated:</w:t>
      </w:r>
    </w:p>
    <w:p>
      <w:pPr>
        <w:pStyle w:val="TextBody"/>
        <w:bidi w:val="0"/>
        <w:jc w:val="both"/>
        <w:rPr/>
      </w:pPr>
      <w:r>
        <w:rPr/>
        <w:t> </w:t>
      </w:r>
    </w:p>
    <w:tbl>
      <w:tblPr>
        <w:tblW w:w="10705" w:type="dxa"/>
        <w:jc w:val="left"/>
        <w:tblInd w:w="0" w:type="dxa"/>
        <w:tblLayout w:type="fixed"/>
        <w:tblCellMar>
          <w:top w:w="28" w:type="dxa"/>
          <w:left w:w="28" w:type="dxa"/>
          <w:bottom w:w="28" w:type="dxa"/>
          <w:right w:w="28" w:type="dxa"/>
        </w:tblCellMar>
      </w:tblPr>
      <w:tblGrid>
        <w:gridCol w:w="1056"/>
        <w:gridCol w:w="146"/>
        <w:gridCol w:w="181"/>
        <w:gridCol w:w="526"/>
        <w:gridCol w:w="151"/>
        <w:gridCol w:w="146"/>
        <w:gridCol w:w="181"/>
        <w:gridCol w:w="526"/>
        <w:gridCol w:w="146"/>
        <w:gridCol w:w="146"/>
        <w:gridCol w:w="181"/>
        <w:gridCol w:w="601"/>
        <w:gridCol w:w="151"/>
        <w:gridCol w:w="146"/>
        <w:gridCol w:w="181"/>
        <w:gridCol w:w="601"/>
        <w:gridCol w:w="151"/>
        <w:gridCol w:w="146"/>
        <w:gridCol w:w="181"/>
        <w:gridCol w:w="526"/>
        <w:gridCol w:w="151"/>
        <w:gridCol w:w="146"/>
        <w:gridCol w:w="181"/>
        <w:gridCol w:w="601"/>
        <w:gridCol w:w="151"/>
        <w:gridCol w:w="146"/>
        <w:gridCol w:w="192"/>
        <w:gridCol w:w="559"/>
        <w:gridCol w:w="146"/>
        <w:gridCol w:w="146"/>
        <w:gridCol w:w="215"/>
        <w:gridCol w:w="536"/>
        <w:gridCol w:w="146"/>
        <w:gridCol w:w="146"/>
        <w:gridCol w:w="181"/>
        <w:gridCol w:w="601"/>
        <w:gridCol w:w="391"/>
      </w:tblGrid>
      <w:tr>
        <w:trPr/>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 Loans By Origination Year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Prior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Revolving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Revolving loans converted to 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51,634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330,875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commercial 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129,253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Commercial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commercial lines of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other commercial and industrial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Paycheck Protection Program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Paycheck Protection Program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Tax exempt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tax exempt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family first-lien residential mortgages: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234,771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1-4 family first-lien residential mortgages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239,692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Residential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residential construction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equity and junior liens: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home equity and junior liens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Doubtful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other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deferred loan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Loans, net of deferred fees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129,058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292,442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896,670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Management has reviewed its loan portfolio and determined that, to the best of its knowledge, no material exposure exists to sub-prime or other high-risk residential mortgages. The Company is not in the practice of originating these types of loans.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Nonaccrual and Past Due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 </w:t>
      </w:r>
    </w:p>
    <w:p>
      <w:pPr>
        <w:pStyle w:val="TextBody"/>
        <w:bidi w:val="0"/>
        <w:jc w:val="both"/>
        <w:rPr>
          <w:rFonts w:ascii="Times New Roman" w:hAnsi="Times New Roman"/>
          <w:color w:val="000000"/>
          <w:sz w:val="20"/>
        </w:rPr>
      </w:pPr>
      <w:r>
        <w:rPr>
          <w:rFonts w:ascii="Times New Roman" w:hAnsi="Times New Roman"/>
          <w:color w:val="000000"/>
          <w:sz w:val="20"/>
        </w:rPr>
        <w:t>An aging analysis of past due loans, not including net deferred loan costs, segregated by portfolio segment and class of loans, as of June 30, 2026 and December 31, 2025, are detailed in the following tables:</w:t>
      </w:r>
    </w:p>
    <w:p>
      <w:pPr>
        <w:pStyle w:val="TextBody"/>
        <w:bidi w:val="0"/>
        <w:jc w:val="both"/>
        <w:rPr/>
      </w:pPr>
      <w:r>
        <w:rPr/>
        <w:t> </w:t>
      </w:r>
    </w:p>
    <w:tbl>
      <w:tblPr>
        <w:tblW w:w="10365" w:type="dxa"/>
        <w:jc w:val="left"/>
        <w:tblInd w:w="0" w:type="dxa"/>
        <w:tblLayout w:type="fixed"/>
        <w:tblCellMar>
          <w:top w:w="28" w:type="dxa"/>
          <w:left w:w="28" w:type="dxa"/>
          <w:bottom w:w="28" w:type="dxa"/>
          <w:right w:w="28" w:type="dxa"/>
        </w:tblCellMar>
      </w:tblPr>
      <w:tblGrid>
        <w:gridCol w:w="1206"/>
        <w:gridCol w:w="346"/>
        <w:gridCol w:w="196"/>
        <w:gridCol w:w="601"/>
        <w:gridCol w:w="346"/>
        <w:gridCol w:w="346"/>
        <w:gridCol w:w="196"/>
        <w:gridCol w:w="601"/>
        <w:gridCol w:w="346"/>
        <w:gridCol w:w="346"/>
        <w:gridCol w:w="196"/>
        <w:gridCol w:w="601"/>
        <w:gridCol w:w="346"/>
        <w:gridCol w:w="346"/>
        <w:gridCol w:w="196"/>
        <w:gridCol w:w="601"/>
        <w:gridCol w:w="346"/>
        <w:gridCol w:w="346"/>
        <w:gridCol w:w="196"/>
        <w:gridCol w:w="691"/>
        <w:gridCol w:w="346"/>
        <w:gridCol w:w="346"/>
        <w:gridCol w:w="196"/>
        <w:gridCol w:w="691"/>
        <w:gridCol w:w="391"/>
      </w:tblGrid>
      <w:tr>
        <w:trPr/>
        <w:tc>
          <w:tcPr>
            <w:tcW w:w="1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30-59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60-89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90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and Over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Current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Receivable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first-lien residential mortgages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5,661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227,840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233,501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residential mortgage loans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5,661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229,082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234,743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 estate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23,932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364,222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388,154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Lines of credit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75,797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commercial and industrial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67,443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Paycheck Protection Program loans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exempt loans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commercial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34,565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510,015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544,580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Home equity and junior liens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51,956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consumer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55,765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57,232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consumer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107,721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110,451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loans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846,818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889,774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30-59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60-89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90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and Over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Past Due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Current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Receivable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first-lien residential mortgages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231,910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239,692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residential mortgage loans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233,949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241,731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 estate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9,042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7,461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15,567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348,241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380,311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Lines of credit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73,792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commercial and industrial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8,737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72,473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Paycheck Protection Program loans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exempt loans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commercial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7,969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24,616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42,386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501,285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543,671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Home equity and junior liens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48,402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49,783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consumer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61,346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consumer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109,748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112,608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loans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13,936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11,531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27,561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53,028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844,982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898,010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amount of interest income recognized on nonaccrual loans and the cost basis of nonaccrual loans, for which there is no ACL, are detailed in the following tables. All loans greater than 90 days past due are classified as nonaccrual.</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33"/>
        <w:gridCol w:w="146"/>
        <w:gridCol w:w="324"/>
        <w:gridCol w:w="965"/>
        <w:gridCol w:w="181"/>
        <w:gridCol w:w="181"/>
        <w:gridCol w:w="834"/>
        <w:gridCol w:w="2535"/>
        <w:gridCol w:w="181"/>
        <w:gridCol w:w="181"/>
        <w:gridCol w:w="599"/>
        <w:gridCol w:w="1150"/>
        <w:gridCol w:w="395"/>
      </w:tblGrid>
      <w:tr>
        <w:trPr/>
        <w:tc>
          <w:tcPr>
            <w:tcW w:w="2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and for the six months ended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Nonaccrual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Nonaccrual loans without related allowance for credit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Recognized interest income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1-4 family first-lien residential mortgages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residential mortgage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commercial and industrial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commercial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Home equity and junior liens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consumer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nonaccrual loans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39"/>
        <w:gridCol w:w="146"/>
        <w:gridCol w:w="322"/>
        <w:gridCol w:w="968"/>
        <w:gridCol w:w="176"/>
        <w:gridCol w:w="176"/>
        <w:gridCol w:w="935"/>
        <w:gridCol w:w="2443"/>
        <w:gridCol w:w="176"/>
        <w:gridCol w:w="176"/>
        <w:gridCol w:w="485"/>
        <w:gridCol w:w="1267"/>
        <w:gridCol w:w="396"/>
      </w:tblGrid>
      <w:tr>
        <w:trPr/>
        <w:tc>
          <w:tcPr>
            <w:tcW w:w="2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and for the year ended December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Nonaccrual Loans</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Nonaccrual loans without related allowance for credit loss</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Recognized interest income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1-4 family first-lien residential mortgages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residential mortgage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commercial and industrial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commercial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24,616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Home equity and junior liens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consumer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nonaccrual loans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27,561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4,853</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the Bank's 86 nonperforming loans represented 4.0% of total loans, with an aggregate outstanding balance of $35.7 million, as compared to 88 loans, representing 3.1% of total loans, with an aggregate outstanding balance of $27.6 million at December 31, 2025. The increase primarily reflected certain legacy loans associated with two commercial relationships that may have been less than 90 days delinquent but were identified as having unique risk characteristics through the Company’s previously disclosed comprehensive review of approximately 90% of the Bank’s commercial portfolio in 2025. Specific reserves for these exposures were established prior to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ACL.</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i/>
          <w:color w:val="000000"/>
          <w:sz w:val="20"/>
        </w:rPr>
      </w:pPr>
      <w:r>
        <w:rPr>
          <w:rFonts w:ascii="Times New Roman" w:hAnsi="Times New Roman"/>
          <w:i/>
          <w:color w:val="000000"/>
          <w:sz w:val="20"/>
        </w:rPr>
        <w:t>Loans Modified With Borrowers Experiencing Financial Difficulty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ACL or as a charge-off to the ACL in the current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the effect of most loan modifications made with borrowers experiencing financial difficulty is already included in the ACL, a change to the ACL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consecutive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impact of commercial loan modifications made to borrowers experiencing financial difficulty outstanding as of June 30, 2026 related to four borrowers that were granted either maturity extensions or an interest rate modification. There were no commercial loan modifications made to borrowers experiencing financial difficulty during the three months ended June 30, 2026. During the six months ended June 30, 2026, one borrower was granted a term extension. The Company closely monitors the performance of loans that are modified to borrowers experiencing financial difficulty to understand the effectiveness of its modification efforts. The payment status of modified loans were current as of June 30, 2026. There were two borrowers experiencing financial difficulty that were granted loan modifications during the three months ended June 30, 2025, and three borrowers during the six months ended June 30, 2025.</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following tables present the amortized cost basis of loans modified for borrowers experiencing financial difficulty, by class and by type of modification.</w:t>
      </w:r>
    </w:p>
    <w:p>
      <w:pPr>
        <w:pStyle w:val="TextBody"/>
        <w:bidi w:val="0"/>
        <w:jc w:val="both"/>
        <w:rPr/>
      </w:pPr>
      <w:r>
        <w:rPr/>
        <w:t> </w:t>
      </w:r>
    </w:p>
    <w:tbl>
      <w:tblPr>
        <w:tblW w:w="8518" w:type="dxa"/>
        <w:jc w:val="left"/>
        <w:tblInd w:w="0" w:type="dxa"/>
        <w:tblLayout w:type="fixed"/>
        <w:tblCellMar>
          <w:top w:w="28" w:type="dxa"/>
          <w:left w:w="28" w:type="dxa"/>
          <w:bottom w:w="28" w:type="dxa"/>
          <w:right w:w="28" w:type="dxa"/>
        </w:tblCellMar>
      </w:tblPr>
      <w:tblGrid>
        <w:gridCol w:w="2041"/>
        <w:gridCol w:w="146"/>
        <w:gridCol w:w="462"/>
        <w:gridCol w:w="392"/>
        <w:gridCol w:w="344"/>
        <w:gridCol w:w="344"/>
        <w:gridCol w:w="353"/>
        <w:gridCol w:w="802"/>
        <w:gridCol w:w="241"/>
        <w:gridCol w:w="146"/>
        <w:gridCol w:w="354"/>
        <w:gridCol w:w="924"/>
        <w:gridCol w:w="264"/>
        <w:gridCol w:w="264"/>
        <w:gridCol w:w="353"/>
        <w:gridCol w:w="802"/>
        <w:gridCol w:w="2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Term </w:t>
              <w:br/>
              <w:t>Extension</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Term </w:t>
              <w:br/>
              <w:t>Extension</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2,369</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and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2,369</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7400" w:type="dxa"/>
        <w:jc w:val="left"/>
        <w:tblInd w:w="0" w:type="dxa"/>
        <w:tblLayout w:type="fixed"/>
        <w:tblCellMar>
          <w:top w:w="28" w:type="dxa"/>
          <w:left w:w="28" w:type="dxa"/>
          <w:bottom w:w="28" w:type="dxa"/>
          <w:right w:w="28" w:type="dxa"/>
        </w:tblCellMar>
      </w:tblPr>
      <w:tblGrid>
        <w:gridCol w:w="2041"/>
        <w:gridCol w:w="146"/>
        <w:gridCol w:w="224"/>
        <w:gridCol w:w="587"/>
        <w:gridCol w:w="152"/>
        <w:gridCol w:w="152"/>
        <w:gridCol w:w="353"/>
        <w:gridCol w:w="802"/>
        <w:gridCol w:w="241"/>
        <w:gridCol w:w="146"/>
        <w:gridCol w:w="224"/>
        <w:gridCol w:w="587"/>
        <w:gridCol w:w="152"/>
        <w:gridCol w:w="152"/>
        <w:gridCol w:w="353"/>
        <w:gridCol w:w="802"/>
        <w:gridCol w:w="2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June 30,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Term </w:t>
              <w:br/>
              <w:t>Extension</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Term </w:t>
              <w:br/>
              <w:t>Extension</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and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4,386</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8810" w:type="dxa"/>
        <w:jc w:val="left"/>
        <w:tblInd w:w="0" w:type="dxa"/>
        <w:tblLayout w:type="fixed"/>
        <w:tblCellMar>
          <w:top w:w="28" w:type="dxa"/>
          <w:left w:w="28" w:type="dxa"/>
          <w:bottom w:w="28" w:type="dxa"/>
          <w:right w:w="28" w:type="dxa"/>
        </w:tblCellMar>
      </w:tblPr>
      <w:tblGrid>
        <w:gridCol w:w="2041"/>
        <w:gridCol w:w="146"/>
        <w:gridCol w:w="592"/>
        <w:gridCol w:w="503"/>
        <w:gridCol w:w="344"/>
        <w:gridCol w:w="344"/>
        <w:gridCol w:w="353"/>
        <w:gridCol w:w="802"/>
        <w:gridCol w:w="241"/>
        <w:gridCol w:w="146"/>
        <w:gridCol w:w="334"/>
        <w:gridCol w:w="1025"/>
        <w:gridCol w:w="249"/>
        <w:gridCol w:w="249"/>
        <w:gridCol w:w="353"/>
        <w:gridCol w:w="802"/>
        <w:gridCol w:w="2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Interest Rate </w:t>
              <w:br/>
              <w:t>Reduction</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Interest Rate </w:t>
              <w:br/>
              <w:t>Reduction</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and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7944" w:type="dxa"/>
        <w:jc w:val="left"/>
        <w:tblInd w:w="0" w:type="dxa"/>
        <w:tblLayout w:type="fixed"/>
        <w:tblCellMar>
          <w:top w:w="28" w:type="dxa"/>
          <w:left w:w="28" w:type="dxa"/>
          <w:bottom w:w="28" w:type="dxa"/>
          <w:right w:w="28" w:type="dxa"/>
        </w:tblCellMar>
      </w:tblPr>
      <w:tblGrid>
        <w:gridCol w:w="2041"/>
        <w:gridCol w:w="146"/>
        <w:gridCol w:w="268"/>
        <w:gridCol w:w="827"/>
        <w:gridCol w:w="146"/>
        <w:gridCol w:w="146"/>
        <w:gridCol w:w="353"/>
        <w:gridCol w:w="802"/>
        <w:gridCol w:w="241"/>
        <w:gridCol w:w="146"/>
        <w:gridCol w:w="268"/>
        <w:gridCol w:w="827"/>
        <w:gridCol w:w="146"/>
        <w:gridCol w:w="146"/>
        <w:gridCol w:w="353"/>
        <w:gridCol w:w="802"/>
        <w:gridCol w:w="2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 of June 30,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Interest Rate </w:t>
              <w:br/>
              <w:t>Reduction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Interest Rate </w:t>
              <w:br/>
              <w:t>Reduction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 xml:space="preserve">Total Class of </w:t>
              <w:br/>
              <w:t>Receivable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and consumer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7: 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allowance for credit losses. PCL was a benefit of $155,000 for the three month period ended June 30, 2026, as compared to a $1.2 million PCL expense for the three month period ended June 30, 2025. For the first six months of 2026, the Company recorded a PCL benefit of $323,000, as compared to a $1.7 million PCL expense in the first six months of the prior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PCL decreased $1.4 million for the three months ended June 30, 2026 compared to the same period in 2025. During the second quarter of 2026, the Company recorded a $182,000 reduction in reserves related to its loan portfolio and a $22,000 reduction in reserves related to held-to-maturity securities, partially offset by a $49,000 increase in reserves for unfunded commitments. The net benefit recorded during the quarter was primarily influenced by the level of average loans outstanding in the period and the risk-based reserve build undertaken in the second half of 2025 to absorb future loss resolution activity related to commercial 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activity related to the ACL as of and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8"/>
        <w:gridCol w:w="146"/>
        <w:gridCol w:w="367"/>
        <w:gridCol w:w="1127"/>
        <w:gridCol w:w="166"/>
        <w:gridCol w:w="146"/>
        <w:gridCol w:w="338"/>
        <w:gridCol w:w="990"/>
        <w:gridCol w:w="166"/>
        <w:gridCol w:w="146"/>
        <w:gridCol w:w="408"/>
        <w:gridCol w:w="785"/>
        <w:gridCol w:w="146"/>
        <w:gridCol w:w="146"/>
        <w:gridCol w:w="263"/>
        <w:gridCol w:w="586"/>
        <w:gridCol w:w="166"/>
        <w:gridCol w:w="146"/>
        <w:gridCol w:w="352"/>
        <w:gridCol w:w="1081"/>
        <w:gridCol w:w="296"/>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2026 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2026 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2026 PCL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June 30, 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Individually evaluated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16,687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Collectively evaluated: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Overdraft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quantitative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9,164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qualitative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Purchased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 -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ACL -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Other Liabilities - Unfunded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27,711</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2"/>
        <w:gridCol w:w="146"/>
        <w:gridCol w:w="366"/>
        <w:gridCol w:w="1123"/>
        <w:gridCol w:w="146"/>
        <w:gridCol w:w="146"/>
        <w:gridCol w:w="337"/>
        <w:gridCol w:w="989"/>
        <w:gridCol w:w="166"/>
        <w:gridCol w:w="146"/>
        <w:gridCol w:w="407"/>
        <w:gridCol w:w="784"/>
        <w:gridCol w:w="146"/>
        <w:gridCol w:w="146"/>
        <w:gridCol w:w="246"/>
        <w:gridCol w:w="643"/>
        <w:gridCol w:w="166"/>
        <w:gridCol w:w="146"/>
        <w:gridCol w:w="351"/>
        <w:gridCol w:w="1077"/>
        <w:gridCol w:w="296"/>
      </w:tblGrid>
      <w:tr>
        <w:trPr/>
        <w:tc>
          <w:tcPr>
            <w:tcW w:w="2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2025 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2025 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Q2 2025 PCL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June 30,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Individually evaluated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Collectively evaluated: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Overdraft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quantitative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6,538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qualitative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Purchased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 -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ACL -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Other Liabilities - Unfunded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16,767</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5"/>
        <w:gridCol w:w="246"/>
        <w:gridCol w:w="404"/>
        <w:gridCol w:w="1243"/>
        <w:gridCol w:w="146"/>
        <w:gridCol w:w="146"/>
        <w:gridCol w:w="308"/>
        <w:gridCol w:w="903"/>
        <w:gridCol w:w="166"/>
        <w:gridCol w:w="146"/>
        <w:gridCol w:w="368"/>
        <w:gridCol w:w="708"/>
        <w:gridCol w:w="146"/>
        <w:gridCol w:w="146"/>
        <w:gridCol w:w="204"/>
        <w:gridCol w:w="597"/>
        <w:gridCol w:w="166"/>
        <w:gridCol w:w="146"/>
        <w:gridCol w:w="357"/>
        <w:gridCol w:w="1097"/>
        <w:gridCol w:w="297"/>
      </w:tblGrid>
      <w:tr>
        <w:trPr/>
        <w:tc>
          <w:tcPr>
            <w:tcW w:w="22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 2026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 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 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 PCL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June 30, 2026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Individually evaluated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16,687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Collectively evaluated: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Overdraft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quantitative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9,164</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qualitative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Purchased</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2,309</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 - Loans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26,920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ACL - Held-To-Maturity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Other Liabilities - Unfunded Commitments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27,711</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74"/>
        <w:gridCol w:w="246"/>
        <w:gridCol w:w="407"/>
        <w:gridCol w:w="1250"/>
        <w:gridCol w:w="146"/>
        <w:gridCol w:w="146"/>
        <w:gridCol w:w="309"/>
        <w:gridCol w:w="904"/>
        <w:gridCol w:w="166"/>
        <w:gridCol w:w="146"/>
        <w:gridCol w:w="369"/>
        <w:gridCol w:w="710"/>
        <w:gridCol w:w="146"/>
        <w:gridCol w:w="146"/>
        <w:gridCol w:w="213"/>
        <w:gridCol w:w="556"/>
        <w:gridCol w:w="166"/>
        <w:gridCol w:w="146"/>
        <w:gridCol w:w="359"/>
        <w:gridCol w:w="1103"/>
        <w:gridCol w:w="297"/>
      </w:tblGrid>
      <w:tr>
        <w:trPr/>
        <w:tc>
          <w:tcPr>
            <w:tcW w:w="22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 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 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 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 PCL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Reserves as of June 30, 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Individually evaluated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2,339</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7"/>
              </w:rPr>
              <w:t>Collectively evaluated: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Overdraft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quantitative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6,538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Pooled - qualitative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Purchased</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3,589</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 - Loans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15,983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ACL - Held-To-Maturity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Other Liabilities - Unfunded Commitments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ACL</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16,767</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20" w:after="283"/>
        <w:jc w:val="both"/>
        <w:rPr>
          <w:rFonts w:ascii="Times New Roman" w:hAnsi="Times New Roman"/>
          <w:color w:val="000000"/>
          <w:sz w:val="20"/>
        </w:rPr>
      </w:pPr>
      <w:r>
        <w:rPr>
          <w:rFonts w:ascii="Times New Roman" w:hAnsi="Times New Roman"/>
          <w:color w:val="000000"/>
          <w:sz w:val="20"/>
        </w:rPr>
        <w:t>Summarized in the tables below are changes in the ACL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pStyle w:val="TextBody"/>
        <w:bidi w:val="0"/>
        <w:jc w:val="both"/>
        <w:rPr/>
      </w:pPr>
      <w:r>
        <w:rPr/>
        <w:t> </w:t>
      </w:r>
    </w:p>
    <w:tbl>
      <w:tblPr>
        <w:tblW w:w="15855" w:type="dxa"/>
        <w:jc w:val="left"/>
        <w:tblInd w:w="0" w:type="dxa"/>
        <w:tblLayout w:type="fixed"/>
        <w:tblCellMar>
          <w:top w:w="28" w:type="dxa"/>
          <w:left w:w="28" w:type="dxa"/>
          <w:bottom w:w="28" w:type="dxa"/>
          <w:right w:w="28" w:type="dxa"/>
        </w:tblCellMar>
      </w:tblPr>
      <w:tblGrid>
        <w:gridCol w:w="1011"/>
        <w:gridCol w:w="346"/>
        <w:gridCol w:w="181"/>
        <w:gridCol w:w="601"/>
        <w:gridCol w:w="346"/>
        <w:gridCol w:w="346"/>
        <w:gridCol w:w="258"/>
        <w:gridCol w:w="643"/>
        <w:gridCol w:w="351"/>
        <w:gridCol w:w="346"/>
        <w:gridCol w:w="201"/>
        <w:gridCol w:w="670"/>
        <w:gridCol w:w="351"/>
        <w:gridCol w:w="346"/>
        <w:gridCol w:w="222"/>
        <w:gridCol w:w="649"/>
        <w:gridCol w:w="346"/>
        <w:gridCol w:w="346"/>
        <w:gridCol w:w="211"/>
        <w:gridCol w:w="615"/>
        <w:gridCol w:w="351"/>
        <w:gridCol w:w="346"/>
        <w:gridCol w:w="311"/>
        <w:gridCol w:w="440"/>
        <w:gridCol w:w="346"/>
        <w:gridCol w:w="346"/>
        <w:gridCol w:w="181"/>
        <w:gridCol w:w="451"/>
        <w:gridCol w:w="351"/>
        <w:gridCol w:w="346"/>
        <w:gridCol w:w="181"/>
        <w:gridCol w:w="526"/>
        <w:gridCol w:w="351"/>
        <w:gridCol w:w="346"/>
        <w:gridCol w:w="184"/>
        <w:gridCol w:w="537"/>
        <w:gridCol w:w="351"/>
        <w:gridCol w:w="346"/>
        <w:gridCol w:w="181"/>
        <w:gridCol w:w="601"/>
        <w:gridCol w:w="396"/>
      </w:tblGrid>
      <w:tr>
        <w:trPr/>
        <w:tc>
          <w:tcPr>
            <w:tcW w:w="10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and for the three months ended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Paycheck Protection Program</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&amp; junior liens</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Allowance for credit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Balance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8,810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28,966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Charge-offs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Recoveries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Provisions (credits)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11,374</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7,075</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2,244</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26,920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related to loans</w:t>
              <w:br/>
              <w:t>   individually evaluated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16,687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related to loans</w:t>
              <w:br/>
              <w:t>   collectively evaluated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Loans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gross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233,501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388,154</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77,886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75,987</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53,219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57,232</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889,774</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individually</w:t>
              <w:br/>
              <w:t>   evaluated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52,308</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15,551</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78,644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collectively</w:t>
              <w:br/>
              <w:t>   evaluated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232,682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335,846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60,436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52,620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57,232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811,130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tbl>
      <w:tblPr>
        <w:tblW w:w="15855" w:type="dxa"/>
        <w:jc w:val="left"/>
        <w:tblInd w:w="0" w:type="dxa"/>
        <w:tblLayout w:type="fixed"/>
        <w:tblCellMar>
          <w:top w:w="28" w:type="dxa"/>
          <w:left w:w="28" w:type="dxa"/>
          <w:bottom w:w="28" w:type="dxa"/>
          <w:right w:w="28" w:type="dxa"/>
        </w:tblCellMar>
      </w:tblPr>
      <w:tblGrid>
        <w:gridCol w:w="1011"/>
        <w:gridCol w:w="346"/>
        <w:gridCol w:w="181"/>
        <w:gridCol w:w="601"/>
        <w:gridCol w:w="351"/>
        <w:gridCol w:w="346"/>
        <w:gridCol w:w="258"/>
        <w:gridCol w:w="643"/>
        <w:gridCol w:w="346"/>
        <w:gridCol w:w="346"/>
        <w:gridCol w:w="201"/>
        <w:gridCol w:w="670"/>
        <w:gridCol w:w="351"/>
        <w:gridCol w:w="346"/>
        <w:gridCol w:w="222"/>
        <w:gridCol w:w="649"/>
        <w:gridCol w:w="351"/>
        <w:gridCol w:w="346"/>
        <w:gridCol w:w="211"/>
        <w:gridCol w:w="615"/>
        <w:gridCol w:w="351"/>
        <w:gridCol w:w="346"/>
        <w:gridCol w:w="311"/>
        <w:gridCol w:w="440"/>
        <w:gridCol w:w="346"/>
        <w:gridCol w:w="346"/>
        <w:gridCol w:w="181"/>
        <w:gridCol w:w="451"/>
        <w:gridCol w:w="346"/>
        <w:gridCol w:w="346"/>
        <w:gridCol w:w="181"/>
        <w:gridCol w:w="526"/>
        <w:gridCol w:w="351"/>
        <w:gridCol w:w="346"/>
        <w:gridCol w:w="184"/>
        <w:gridCol w:w="537"/>
        <w:gridCol w:w="351"/>
        <w:gridCol w:w="346"/>
        <w:gridCol w:w="181"/>
        <w:gridCol w:w="601"/>
        <w:gridCol w:w="396"/>
      </w:tblGrid>
      <w:tr>
        <w:trPr/>
        <w:tc>
          <w:tcPr>
            <w:tcW w:w="10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and for the three months ended 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Paycheck Protection Program</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&amp; junior liens</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Allowance for credit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Balance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Charge-offs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Recoveries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Provisions (credits)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1,342</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6,396</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2,671</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Ending balance: related to loans </w:t>
              <w:br/>
              <w:t>   individually evaluated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Ending balance: related to loans </w:t>
              <w:br/>
              <w:t>  collectively evaluated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681</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13,689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Loans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gross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240,833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381,575</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75,487</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85,578</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49,339</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68,439</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911,205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individually</w:t>
              <w:br/>
              <w:t>   evaluated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5,160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12,133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 collectively</w:t>
              <w:br/>
              <w:t>   evaluated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238,930</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376,415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74,513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82,011</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48,810</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68,439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899,072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715" w:type="dxa"/>
        <w:jc w:val="left"/>
        <w:tblInd w:w="0" w:type="dxa"/>
        <w:tblLayout w:type="fixed"/>
        <w:tblCellMar>
          <w:top w:w="28" w:type="dxa"/>
          <w:left w:w="28" w:type="dxa"/>
          <w:bottom w:w="28" w:type="dxa"/>
          <w:right w:w="28" w:type="dxa"/>
        </w:tblCellMar>
      </w:tblPr>
      <w:tblGrid>
        <w:gridCol w:w="1011"/>
        <w:gridCol w:w="146"/>
        <w:gridCol w:w="223"/>
        <w:gridCol w:w="558"/>
        <w:gridCol w:w="151"/>
        <w:gridCol w:w="146"/>
        <w:gridCol w:w="318"/>
        <w:gridCol w:w="583"/>
        <w:gridCol w:w="146"/>
        <w:gridCol w:w="146"/>
        <w:gridCol w:w="222"/>
        <w:gridCol w:w="649"/>
        <w:gridCol w:w="151"/>
        <w:gridCol w:w="146"/>
        <w:gridCol w:w="249"/>
        <w:gridCol w:w="622"/>
        <w:gridCol w:w="151"/>
        <w:gridCol w:w="146"/>
        <w:gridCol w:w="220"/>
        <w:gridCol w:w="606"/>
        <w:gridCol w:w="151"/>
        <w:gridCol w:w="146"/>
        <w:gridCol w:w="247"/>
        <w:gridCol w:w="309"/>
        <w:gridCol w:w="151"/>
        <w:gridCol w:w="146"/>
        <w:gridCol w:w="181"/>
        <w:gridCol w:w="376"/>
        <w:gridCol w:w="151"/>
        <w:gridCol w:w="146"/>
        <w:gridCol w:w="206"/>
        <w:gridCol w:w="515"/>
        <w:gridCol w:w="151"/>
        <w:gridCol w:w="146"/>
        <w:gridCol w:w="181"/>
        <w:gridCol w:w="526"/>
        <w:gridCol w:w="396"/>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2"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and for the six months ended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and junior liens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29,436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Provisions (credits)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26,920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675" w:type="dxa"/>
        <w:jc w:val="left"/>
        <w:tblInd w:w="0" w:type="dxa"/>
        <w:tblLayout w:type="fixed"/>
        <w:tblCellMar>
          <w:top w:w="28" w:type="dxa"/>
          <w:left w:w="28" w:type="dxa"/>
          <w:bottom w:w="28" w:type="dxa"/>
          <w:right w:w="28" w:type="dxa"/>
        </w:tblCellMar>
      </w:tblPr>
      <w:tblGrid>
        <w:gridCol w:w="1011"/>
        <w:gridCol w:w="146"/>
        <w:gridCol w:w="223"/>
        <w:gridCol w:w="558"/>
        <w:gridCol w:w="151"/>
        <w:gridCol w:w="146"/>
        <w:gridCol w:w="318"/>
        <w:gridCol w:w="583"/>
        <w:gridCol w:w="151"/>
        <w:gridCol w:w="146"/>
        <w:gridCol w:w="249"/>
        <w:gridCol w:w="622"/>
        <w:gridCol w:w="151"/>
        <w:gridCol w:w="146"/>
        <w:gridCol w:w="283"/>
        <w:gridCol w:w="588"/>
        <w:gridCol w:w="151"/>
        <w:gridCol w:w="146"/>
        <w:gridCol w:w="220"/>
        <w:gridCol w:w="606"/>
        <w:gridCol w:w="151"/>
        <w:gridCol w:w="146"/>
        <w:gridCol w:w="247"/>
        <w:gridCol w:w="309"/>
        <w:gridCol w:w="151"/>
        <w:gridCol w:w="146"/>
        <w:gridCol w:w="181"/>
        <w:gridCol w:w="331"/>
        <w:gridCol w:w="151"/>
        <w:gridCol w:w="146"/>
        <w:gridCol w:w="206"/>
        <w:gridCol w:w="515"/>
        <w:gridCol w:w="151"/>
        <w:gridCol w:w="146"/>
        <w:gridCol w:w="181"/>
        <w:gridCol w:w="526"/>
        <w:gridCol w:w="396"/>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2"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and for the six months ended 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and junior liens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17,243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Provisions (credits)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Ending balance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methodology for determining its ACL includes an analysis of qualitative factors that are added to the historical loss rates in arriving at the total ACL needed for collectively evaluated loans. The qualitative factors include, but are not limited to, the following:</w:t>
      </w:r>
    </w:p>
    <w:p>
      <w:pPr>
        <w:pStyle w:val="TextBody"/>
        <w:bidi w:val="0"/>
        <w:spacing w:before="220" w:after="283"/>
        <w:jc w:val="both"/>
        <w:rPr>
          <w:color w:val="000000"/>
        </w:rPr>
      </w:pPr>
      <w:r>
        <w:rPr>
          <w:color w:val="000000"/>
        </w:rPr>
        <w:t>•</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 xml:space="preserve">Changes in national and local economic trends;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rate of growth in the portfolio;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Trends of delinquencies and nonaccrual balances;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loan policy;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Changes in lending management experience and related staffing.</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Each factor is assigned a value to reflect improving, stable or declining conditions based on management’s best judgment using relevant information available at the time of the evaluation. These qualitative factors, applied to each loan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ACL analysis and calculation.</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The allocation of the ACL summarized on the basis of the Company’s calculation methodology was as follows:</w:t>
      </w:r>
    </w:p>
    <w:p>
      <w:pPr>
        <w:pStyle w:val="TextBody"/>
        <w:bidi w:val="0"/>
        <w:jc w:val="both"/>
        <w:rPr/>
      </w:pPr>
      <w:r>
        <w:rPr/>
        <w:t> </w:t>
      </w:r>
    </w:p>
    <w:tbl>
      <w:tblPr>
        <w:tblW w:w="13850" w:type="dxa"/>
        <w:jc w:val="left"/>
        <w:tblInd w:w="0" w:type="dxa"/>
        <w:tblLayout w:type="fixed"/>
        <w:tblCellMar>
          <w:top w:w="28" w:type="dxa"/>
          <w:left w:w="28" w:type="dxa"/>
          <w:bottom w:w="28" w:type="dxa"/>
          <w:right w:w="28" w:type="dxa"/>
        </w:tblCellMar>
      </w:tblPr>
      <w:tblGrid>
        <w:gridCol w:w="826"/>
        <w:gridCol w:w="346"/>
        <w:gridCol w:w="223"/>
        <w:gridCol w:w="558"/>
        <w:gridCol w:w="346"/>
        <w:gridCol w:w="346"/>
        <w:gridCol w:w="318"/>
        <w:gridCol w:w="583"/>
        <w:gridCol w:w="346"/>
        <w:gridCol w:w="346"/>
        <w:gridCol w:w="222"/>
        <w:gridCol w:w="649"/>
        <w:gridCol w:w="346"/>
        <w:gridCol w:w="346"/>
        <w:gridCol w:w="249"/>
        <w:gridCol w:w="622"/>
        <w:gridCol w:w="346"/>
        <w:gridCol w:w="346"/>
        <w:gridCol w:w="236"/>
        <w:gridCol w:w="590"/>
        <w:gridCol w:w="346"/>
        <w:gridCol w:w="346"/>
        <w:gridCol w:w="278"/>
        <w:gridCol w:w="278"/>
        <w:gridCol w:w="346"/>
        <w:gridCol w:w="346"/>
        <w:gridCol w:w="181"/>
        <w:gridCol w:w="331"/>
        <w:gridCol w:w="346"/>
        <w:gridCol w:w="346"/>
        <w:gridCol w:w="206"/>
        <w:gridCol w:w="515"/>
        <w:gridCol w:w="346"/>
        <w:gridCol w:w="346"/>
        <w:gridCol w:w="181"/>
        <w:gridCol w:w="526"/>
        <w:gridCol w:w="396"/>
      </w:tblGrid>
      <w:tr>
        <w:trPr/>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2"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and junior liens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Specifically reserved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18,996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Historical loss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Qualitative factors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Total</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26,920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3845" w:type="dxa"/>
        <w:jc w:val="left"/>
        <w:tblInd w:w="0" w:type="dxa"/>
        <w:tblLayout w:type="fixed"/>
        <w:tblCellMar>
          <w:top w:w="28" w:type="dxa"/>
          <w:left w:w="28" w:type="dxa"/>
          <w:bottom w:w="28" w:type="dxa"/>
          <w:right w:w="28" w:type="dxa"/>
        </w:tblCellMar>
      </w:tblPr>
      <w:tblGrid>
        <w:gridCol w:w="826"/>
        <w:gridCol w:w="346"/>
        <w:gridCol w:w="223"/>
        <w:gridCol w:w="558"/>
        <w:gridCol w:w="346"/>
        <w:gridCol w:w="346"/>
        <w:gridCol w:w="318"/>
        <w:gridCol w:w="583"/>
        <w:gridCol w:w="346"/>
        <w:gridCol w:w="346"/>
        <w:gridCol w:w="222"/>
        <w:gridCol w:w="649"/>
        <w:gridCol w:w="346"/>
        <w:gridCol w:w="346"/>
        <w:gridCol w:w="249"/>
        <w:gridCol w:w="622"/>
        <w:gridCol w:w="346"/>
        <w:gridCol w:w="346"/>
        <w:gridCol w:w="236"/>
        <w:gridCol w:w="590"/>
        <w:gridCol w:w="346"/>
        <w:gridCol w:w="346"/>
        <w:gridCol w:w="278"/>
        <w:gridCol w:w="278"/>
        <w:gridCol w:w="346"/>
        <w:gridCol w:w="346"/>
        <w:gridCol w:w="181"/>
        <w:gridCol w:w="331"/>
        <w:gridCol w:w="346"/>
        <w:gridCol w:w="346"/>
        <w:gridCol w:w="206"/>
        <w:gridCol w:w="515"/>
        <w:gridCol w:w="346"/>
        <w:gridCol w:w="346"/>
        <w:gridCol w:w="181"/>
        <w:gridCol w:w="526"/>
        <w:gridCol w:w="391"/>
      </w:tblGrid>
      <w:tr>
        <w:trPr/>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2"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 family first-lien residential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Residential construction mortgage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real estate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Commercial lines of credit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commercial and industrial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Tax exempt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Home equity and junior liens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Other consumer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Specifically reserved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Historical loss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Qualitative factors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Total</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Collateral Dependent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Residential real estate loans are typically secured by first mortgages, and in some cases could be secured by a second mortgage.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Home equity lines of credit are generally secured by second mortgages on residential real estate property.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Consumer loans are generally secured by automobiles, motorcycles, recreational vehicles and other personal property. Some consumer loans are unsecured and have no underlying collateral.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details the amortized cost of collateral dependent loans at June 30, 2026 and December 31, 2025:</w:t>
      </w:r>
    </w:p>
    <w:p>
      <w:pPr>
        <w:pStyle w:val="TextBody"/>
        <w:bidi w:val="0"/>
        <w:jc w:val="both"/>
        <w:rPr/>
      </w:pPr>
      <w:r>
        <w:rPr/>
        <w:t> </w:t>
      </w:r>
    </w:p>
    <w:tbl>
      <w:tblPr>
        <w:tblW w:w="6105" w:type="dxa"/>
        <w:jc w:val="left"/>
        <w:tblInd w:w="0" w:type="dxa"/>
        <w:tblLayout w:type="fixed"/>
        <w:tblCellMar>
          <w:top w:w="28" w:type="dxa"/>
          <w:left w:w="28" w:type="dxa"/>
          <w:bottom w:w="28" w:type="dxa"/>
          <w:right w:w="28" w:type="dxa"/>
        </w:tblCellMar>
      </w:tblPr>
      <w:tblGrid>
        <w:gridCol w:w="2851"/>
        <w:gridCol w:w="146"/>
        <w:gridCol w:w="276"/>
        <w:gridCol w:w="849"/>
        <w:gridCol w:w="146"/>
        <w:gridCol w:w="146"/>
        <w:gridCol w:w="368"/>
        <w:gridCol w:w="113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Residential (1-4 family) first mortgages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Home equity loans and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Consumer loans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loans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89,402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29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Note 8: Foreclosed Real Estate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required to disclose the carrying amount of foreclosed real estate properties held as a result of obtaining physical possession of the property at each reporting period.</w:t>
      </w:r>
    </w:p>
    <w:p>
      <w:pPr>
        <w:pStyle w:val="TextBody"/>
        <w:bidi w:val="0"/>
        <w:jc w:val="both"/>
        <w:rPr/>
      </w:pPr>
      <w:r>
        <w:rPr/>
        <w:t> </w:t>
      </w:r>
    </w:p>
    <w:tbl>
      <w:tblPr>
        <w:tblW w:w="9159" w:type="dxa"/>
        <w:jc w:val="left"/>
        <w:tblInd w:w="0" w:type="dxa"/>
        <w:tblLayout w:type="fixed"/>
        <w:tblCellMar>
          <w:top w:w="28" w:type="dxa"/>
          <w:left w:w="28" w:type="dxa"/>
          <w:bottom w:w="28" w:type="dxa"/>
          <w:right w:w="28" w:type="dxa"/>
        </w:tblCellMar>
      </w:tblPr>
      <w:tblGrid>
        <w:gridCol w:w="1791"/>
        <w:gridCol w:w="146"/>
        <w:gridCol w:w="711"/>
        <w:gridCol w:w="954"/>
        <w:gridCol w:w="146"/>
        <w:gridCol w:w="146"/>
        <w:gridCol w:w="385"/>
        <w:gridCol w:w="740"/>
        <w:gridCol w:w="146"/>
        <w:gridCol w:w="146"/>
        <w:gridCol w:w="711"/>
        <w:gridCol w:w="954"/>
        <w:gridCol w:w="146"/>
        <w:gridCol w:w="146"/>
        <w:gridCol w:w="514"/>
        <w:gridCol w:w="986"/>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 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 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and December 31, 2025, the Company reported $937,000 and $698,000, respectively, in real estate loans in the process of foreclosure.</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Note 9: Guarantees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are essentially the same as those that are involved in extending loan facilities to customers. The Company generally holds collateral and/or personal guarantees supporting these commitments. The Company had $3.2 million and $3.4 million of standby letters of credit as of June 30, 2026 and December 31, 2025, respectively. Management believes that the proceeds obtained through a liquidation of collateral and the enforcement of guarantees would be sufficient to cover the potential amount of future payments required under the corresponding guarantees. The fair value of standby letters of credit was not significant to the Company’s consolidated financial statements.</w:t>
      </w:r>
    </w:p>
    <w:p>
      <w:pPr>
        <w:pStyle w:val="TextBody"/>
        <w:bidi w:val="0"/>
        <w:jc w:val="both"/>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Note 10: Fair Value Measurements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1 – Quoted prices (unadjusted) for identical assets or liabilities in active markets that the entity has the ability to access as of the measurement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3 – Model-derived valuations in which one or more significant inputs or significant value drivers are unobservable.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asset’s or liability’s level within the fair value hierarchy is based on the lowest level of input that is significant to the fair value measurement.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minimize the use of unobservable inputs, to the extent possible, and considers counterparty credit risk in its assessment of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used the following methods and significant assumptions to estimate fair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Investment securities: The fair values of AFS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w:t>
      </w:r>
      <w:r>
        <w:rPr>
          <w:rFonts w:ascii="Times New Roman" w:hAnsi="Times New Roman"/>
          <w:color w:val="FF0000"/>
          <w:sz w:val="20"/>
        </w:rPr>
        <w:t xml:space="preserve"> </w:t>
      </w:r>
      <w:r>
        <w:rPr>
          <w:rFonts w:ascii="Times New Roman" w:hAnsi="Times New Roman"/>
          <w:color w:val="000000"/>
          <w:sz w:val="20"/>
        </w:rPr>
        <w:t xml:space="preserve">Level 3 securities are assets whose </w:t>
      </w:r>
      <w:r>
        <w:rPr>
          <w:rFonts w:ascii="Times New Roman" w:hAnsi="Times New Roman"/>
          <w:sz w:val="20"/>
        </w:rPr>
        <w:t>fair value</w:t>
      </w:r>
      <w:r>
        <w:rPr>
          <w:rFonts w:ascii="Times New Roman" w:hAnsi="Times New Roman"/>
          <w:color w:val="000000"/>
          <w:sz w:val="20"/>
        </w:rPr>
        <w:t xml:space="preserve"> cannot be determined by using observable measures, such as market prices or pricing models. </w:t>
      </w:r>
      <w:r>
        <w:rPr>
          <w:rFonts w:ascii="Times New Roman" w:hAnsi="Times New Roman"/>
          <w:sz w:val="20"/>
        </w:rPr>
        <w:t>Level 3</w:t>
      </w:r>
      <w:r>
        <w:rPr>
          <w:rFonts w:ascii="Times New Roman" w:hAnsi="Times New Roman"/>
          <w:color w:val="000000"/>
          <w:sz w:val="20"/>
        </w:rPr>
        <w:t xml:space="preserve"> assets are typically very </w:t>
      </w:r>
      <w:r>
        <w:rPr>
          <w:rFonts w:ascii="Times New Roman" w:hAnsi="Times New Roman"/>
          <w:sz w:val="20"/>
        </w:rPr>
        <w:t>illiquid</w:t>
      </w:r>
      <w:r>
        <w:rPr>
          <w:rFonts w:ascii="Times New Roman" w:hAnsi="Times New Roman"/>
          <w:color w:val="000000"/>
          <w:sz w:val="20"/>
        </w:rPr>
        <w:t xml:space="preserve">, and </w:t>
      </w:r>
      <w:r>
        <w:rPr>
          <w:rFonts w:ascii="Times New Roman" w:hAnsi="Times New Roman"/>
          <w:sz w:val="20"/>
        </w:rPr>
        <w:t>fair values</w:t>
      </w:r>
      <w:r>
        <w:rPr>
          <w:rFonts w:ascii="Times New Roman" w:hAnsi="Times New Roman"/>
          <w:color w:val="000000"/>
          <w:sz w:val="20"/>
        </w:rPr>
        <w:t xml:space="preserve"> can only be calculated using estimates or risk-adjusted value ranges. Management applies known factors, such as currently applicable discount rates, to the valuation of those investments in order to determine fair value at the reporting date.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Company holds two corporate investment securities with an amortized historical cost of $4.0 million and an aggregate fair market value of $4.2 million as of June 30, 2026. These securities have an aggregate valuation that is determined using published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also holds three limited partnership investments managed by an unrelated third party with an aggregate fair market value of $6.2 million and $6.0 million as of June 30, 2026 and December 31, 2025, respectively. The investments are funds comprised of marketable equity securities, primarily issued by community banks and financial technology companies. These investments are recorded at fair value at the end of each reporting period using NAV valuation techniques. Unrealized changes in the fair value of these investments are recorded in earnings in the period in which the changes occur.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rate derivatives: The fair value of the interest rate derivatives, characterized as either fair value or cash flow hedges, are calculated based on a DCF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Individually evaluated loans: Individually evaluated loans are those loans in which the Company has measured potential credit losses based on the fair value of the loan’s collateral or the discounted value of expected future cash flows. Fair value is generally determined based upon market value evaluations by third parties of the properties and/or estimates by management of working capital collateral or DCF based upon expected proceeds. These appraisals may include up to three approaches to determine fair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 portion of the ACL is allocated to individually evaluated loans if the value of such loans is deemed to be less than the unpaid balance.</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The following tables summarize assets measured at fair value on a recurring basis as of the indicated dates, segregated by the level of valuation inputs within the hierarchy utilized to measure fair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63"/>
        <w:gridCol w:w="146"/>
        <w:gridCol w:w="208"/>
        <w:gridCol w:w="399"/>
        <w:gridCol w:w="146"/>
        <w:gridCol w:w="146"/>
        <w:gridCol w:w="196"/>
        <w:gridCol w:w="691"/>
        <w:gridCol w:w="146"/>
        <w:gridCol w:w="146"/>
        <w:gridCol w:w="312"/>
        <w:gridCol w:w="266"/>
        <w:gridCol w:w="146"/>
        <w:gridCol w:w="146"/>
        <w:gridCol w:w="254"/>
        <w:gridCol w:w="899"/>
        <w:gridCol w:w="395"/>
      </w:tblGrid>
      <w:tr>
        <w:trPr/>
        <w:tc>
          <w:tcPr>
            <w:tcW w:w="5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Treasury, agencies and GSEs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State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issuances measured at NAV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Residential mortgage-backed - U.S. agency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113,937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365,941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Equity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 financial services 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available-for-sale securities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366,147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Marketable equity securities measured at NAV</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derivative fair value hedges (unrealized gain carried as receivable from derivative counterparties)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5472"/>
        <w:gridCol w:w="246"/>
        <w:gridCol w:w="208"/>
        <w:gridCol w:w="398"/>
        <w:gridCol w:w="146"/>
        <w:gridCol w:w="146"/>
        <w:gridCol w:w="196"/>
        <w:gridCol w:w="691"/>
        <w:gridCol w:w="146"/>
        <w:gridCol w:w="146"/>
        <w:gridCol w:w="311"/>
        <w:gridCol w:w="265"/>
        <w:gridCol w:w="146"/>
        <w:gridCol w:w="146"/>
        <w:gridCol w:w="253"/>
        <w:gridCol w:w="895"/>
        <w:gridCol w:w="394"/>
      </w:tblGrid>
      <w:tr>
        <w:trPr/>
        <w:tc>
          <w:tcPr>
            <w:tcW w:w="54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Available-for-Sale Portfolio</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Debt investment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Treasury, agencies and GSEs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65,015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State and political subdivisions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issuances measured at NAV</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Asset backed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Residential mortgage-backed - U.S. agency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Collateralized mortgage obligations - U.S. agency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Collateralized mortgage obligations - Private label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276,609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Equity investment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 financial services industry</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available-for-sale securities</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276,815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Marketable equity securities measured at NAV</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derivative fair value hedges (unrealized gain carried as receivable from derivative counterparties)</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Pathfinder Bank had the following assets measured at fair value on a nonrecurring basis as of June 30, 2026 and December 31, 2025: </w:t>
      </w:r>
    </w:p>
    <w:p>
      <w:pPr>
        <w:pStyle w:val="TextBody"/>
        <w:bidi w:val="0"/>
        <w:jc w:val="both"/>
        <w:rPr/>
      </w:pPr>
      <w:r>
        <w:rPr/>
        <w:t> </w:t>
      </w:r>
    </w:p>
    <w:tbl>
      <w:tblPr>
        <w:tblW w:w="6586" w:type="dxa"/>
        <w:jc w:val="left"/>
        <w:tblInd w:w="0" w:type="dxa"/>
        <w:tblLayout w:type="fixed"/>
        <w:tblCellMar>
          <w:top w:w="28" w:type="dxa"/>
          <w:left w:w="28" w:type="dxa"/>
          <w:bottom w:w="28" w:type="dxa"/>
          <w:right w:w="28" w:type="dxa"/>
        </w:tblCellMar>
      </w:tblPr>
      <w:tblGrid>
        <w:gridCol w:w="2086"/>
        <w:gridCol w:w="146"/>
        <w:gridCol w:w="340"/>
        <w:gridCol w:w="290"/>
        <w:gridCol w:w="146"/>
        <w:gridCol w:w="146"/>
        <w:gridCol w:w="340"/>
        <w:gridCol w:w="290"/>
        <w:gridCol w:w="146"/>
        <w:gridCol w:w="146"/>
        <w:gridCol w:w="196"/>
        <w:gridCol w:w="511"/>
        <w:gridCol w:w="146"/>
        <w:gridCol w:w="146"/>
        <w:gridCol w:w="366"/>
        <w:gridCol w:w="954"/>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Individually evaluated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tbl>
      <w:tblPr>
        <w:tblW w:w="6712" w:type="dxa"/>
        <w:jc w:val="left"/>
        <w:tblInd w:w="0" w:type="dxa"/>
        <w:tblLayout w:type="fixed"/>
        <w:tblCellMar>
          <w:top w:w="28" w:type="dxa"/>
          <w:left w:w="28" w:type="dxa"/>
          <w:bottom w:w="28" w:type="dxa"/>
          <w:right w:w="28" w:type="dxa"/>
        </w:tblCellMar>
      </w:tblPr>
      <w:tblGrid>
        <w:gridCol w:w="2086"/>
        <w:gridCol w:w="146"/>
        <w:gridCol w:w="340"/>
        <w:gridCol w:w="290"/>
        <w:gridCol w:w="146"/>
        <w:gridCol w:w="146"/>
        <w:gridCol w:w="340"/>
        <w:gridCol w:w="290"/>
        <w:gridCol w:w="151"/>
        <w:gridCol w:w="151"/>
        <w:gridCol w:w="202"/>
        <w:gridCol w:w="621"/>
        <w:gridCol w:w="146"/>
        <w:gridCol w:w="146"/>
        <w:gridCol w:w="324"/>
        <w:gridCol w:w="99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Individually evaluated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presents additional quantitative information about assets measured at fair value on a nonrecurring basis and for which Level 3 inputs were used to determine fair value at the indicated dates.</w:t>
      </w:r>
    </w:p>
    <w:p>
      <w:pPr>
        <w:pStyle w:val="TextBody"/>
        <w:bidi w:val="0"/>
        <w:jc w:val="both"/>
        <w:rPr/>
      </w:pPr>
      <w:r>
        <w:rPr/>
        <w:t> </w:t>
      </w:r>
    </w:p>
    <w:tbl>
      <w:tblPr>
        <w:tblW w:w="8440" w:type="dxa"/>
        <w:jc w:val="left"/>
        <w:tblInd w:w="0" w:type="dxa"/>
        <w:tblLayout w:type="fixed"/>
        <w:tblCellMar>
          <w:top w:w="28" w:type="dxa"/>
          <w:left w:w="28" w:type="dxa"/>
          <w:bottom w:w="28" w:type="dxa"/>
          <w:right w:w="28" w:type="dxa"/>
        </w:tblCellMar>
      </w:tblPr>
      <w:tblGrid>
        <w:gridCol w:w="2086"/>
        <w:gridCol w:w="146"/>
        <w:gridCol w:w="1891"/>
        <w:gridCol w:w="165"/>
        <w:gridCol w:w="1874"/>
        <w:gridCol w:w="165"/>
        <w:gridCol w:w="2113"/>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Quantitative Information about Level 3 Fair Value Measurements at June 30, 2026</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Valuation Techniques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Unobservable Input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Range (Weighted Avg.)</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Individually evaluated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Appraisal of collateral</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Discounted Cash Flow</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 -58% (32%)</w:t>
            </w:r>
          </w:p>
        </w:tc>
      </w:tr>
      <w:tr>
        <w:trPr/>
        <w:tc>
          <w:tcPr>
            <w:tcW w:w="2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Appraisal of collateral</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Costs to Sell</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21% - 24% (22%)</w:t>
            </w:r>
          </w:p>
        </w:tc>
      </w:tr>
    </w:tbl>
    <w:p>
      <w:pPr>
        <w:pStyle w:val="TextBody"/>
        <w:bidi w:val="0"/>
        <w:jc w:val="both"/>
        <w:rPr/>
      </w:pPr>
      <w:r>
        <w:rPr/>
        <w:t> </w:t>
      </w:r>
    </w:p>
    <w:tbl>
      <w:tblPr>
        <w:tblW w:w="8814" w:type="dxa"/>
        <w:jc w:val="left"/>
        <w:tblInd w:w="0" w:type="dxa"/>
        <w:tblLayout w:type="fixed"/>
        <w:tblCellMar>
          <w:top w:w="28" w:type="dxa"/>
          <w:left w:w="28" w:type="dxa"/>
          <w:bottom w:w="28" w:type="dxa"/>
          <w:right w:w="28" w:type="dxa"/>
        </w:tblCellMar>
      </w:tblPr>
      <w:tblGrid>
        <w:gridCol w:w="2086"/>
        <w:gridCol w:w="146"/>
        <w:gridCol w:w="2005"/>
        <w:gridCol w:w="175"/>
        <w:gridCol w:w="1987"/>
        <w:gridCol w:w="175"/>
        <w:gridCol w:w="2240"/>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Quantitative Information about Level 3 Fair Value Measurements at December 31, 2025</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Valuation Techniques</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Unobservable Input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Range (Weighted Avg.)</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Individually evaluated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Appraisal of collateral</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Discounted Cash Flow</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5% - 97% (48%)</w:t>
            </w:r>
          </w:p>
        </w:tc>
      </w:tr>
      <w:tr>
        <w:trPr/>
        <w:tc>
          <w:tcPr>
            <w:tcW w:w="2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Foreclosed real estate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Appraisal of collateral</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Costs to Sell</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21% - 24% (22%)</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transfers of assets into or out of any fair value measurement level during the three or six months ended June 30, 2026 or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various processes and controls in place to ensure that fair value is reasonably estimated. The Company performs due diligence procedures over third-party pricing service providers in order to support their use in the valuation process.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Under FASB ASC Topic 820, </w:t>
      </w:r>
      <w:r>
        <w:rPr>
          <w:rFonts w:ascii="Times New Roman" w:hAnsi="Times New Roman"/>
          <w:i/>
          <w:color w:val="000000"/>
          <w:sz w:val="20"/>
        </w:rPr>
        <w:t>Fair Value Measurements</w:t>
      </w:r>
      <w:r>
        <w:rPr>
          <w:rFonts w:ascii="Times New Roman" w:hAnsi="Times New Roman"/>
          <w:color w:val="000000"/>
          <w:sz w:val="20"/>
        </w:rPr>
        <w:t>, the financial assets and liabilities were valued at a price that represents the Company’s exit price or the price at which these instruments would be sold or transferred.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and cash equivalents – The carrying amounts of these assets approximate their fair value and are classified as Level 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Federal Home Loan Bank stock – The carrying amount of these assets approximates their fair value and are classified as Level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loans – For variable-rate loans that re-price frequently, fair value is based on carrying amounts. The fair value of other loans (for example, fixed-rate commercial real estate loans, mortgage loans, and commercial and industrial loans) is estimated using DCF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interest receivable and payable – The carrying amount of these assets approximates their fair value and are classified as Level 1.</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DCF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Borrowings – Fixed/variable term “bullet” structures are valued using a replacement cost of funds approach. These borrowings are discounted to the FHLB-NY advance curve. Option structured borrowings’ fair values are determined by the FHLB-NY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Subordinated debt – The Company secures quotes from its pricing service based on a DCF methodology or utilizes observations of recent highly-similar transactions which result in a Level 2 classification.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amounts and fair values of the Company’s financial instruments as of the indicated dates are presented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0"/>
        <w:gridCol w:w="146"/>
        <w:gridCol w:w="1203"/>
        <w:gridCol w:w="146"/>
        <w:gridCol w:w="250"/>
        <w:gridCol w:w="882"/>
        <w:gridCol w:w="146"/>
        <w:gridCol w:w="146"/>
        <w:gridCol w:w="272"/>
        <w:gridCol w:w="960"/>
        <w:gridCol w:w="146"/>
        <w:gridCol w:w="146"/>
        <w:gridCol w:w="250"/>
        <w:gridCol w:w="882"/>
        <w:gridCol w:w="146"/>
        <w:gridCol w:w="146"/>
        <w:gridCol w:w="272"/>
        <w:gridCol w:w="960"/>
        <w:gridCol w:w="196"/>
      </w:tblGrid>
      <w:tr>
        <w:trPr/>
        <w:tc>
          <w:tcPr>
            <w:tcW w:w="2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Carrying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Carrying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Estimated Fair Values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u w:val="single"/>
              </w:rPr>
            </w:pPr>
            <w:r>
              <w:rPr>
                <w:rFonts w:ascii="Times New Roman" w:hAnsi="Times New Roman"/>
                <w:color w:val="000000"/>
                <w:sz w:val="17"/>
                <w:u w:val="single"/>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securities -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272,626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securities -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securities - marketable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securities -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125,198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Federal Home Loan Bank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842,116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rate derivative fair value hedges receivable - AFS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rate derivative fair value hedges receivable -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u w:val="single"/>
              </w:rPr>
            </w:pPr>
            <w:r>
              <w:rPr>
                <w:rFonts w:ascii="Times New Roman" w:hAnsi="Times New Roman"/>
                <w:color w:val="000000"/>
                <w:sz w:val="17"/>
                <w:u w:val="single"/>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Demand Deposits, Savings, NOW and MMDA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731,868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451,357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interest payable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r>
        <w:rPr>
          <w:rFonts w:ascii="Times New Roman" w:hAnsi="Times New Roman"/>
          <w:b/>
          <w:color w:val="000000"/>
          <w:sz w:val="22"/>
        </w:rPr>
        <w:t>Note 11: Interest Rate Derivatives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exposed to certain risks related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June 30, 2026 or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 hedge ineffectiveness and are recorded as adjustments to the interest income or interest expense of the respective hedged instrument. In the case of pay-fixed or receive-fixed interest rate swap agreements, designated as fair value hedges, the periodic differences in the net cash flows due to (due from) the Company from (to) a counterparty are recorded in current period earnings as adjustments to the interest income or interest expense of the respective hedged asset or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AOCI and subsequently reclassified into earnings when the forecasted transaction affects earnings. In the case of pay-fixed or receive-fixed interest rate swap agreements, designated as cash flow hedges, the periodic differences in the net cash flows due to (due from) the Company from (to) a counterparty are recorded in current period earnings as adjustments to the interest income or interest expense of the respective hedged asset or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June 30, 2026 or December 31, 2025.</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5"/>
        <w:gridCol w:w="146"/>
        <w:gridCol w:w="369"/>
        <w:gridCol w:w="1309"/>
        <w:gridCol w:w="146"/>
        <w:gridCol w:w="146"/>
        <w:gridCol w:w="567"/>
        <w:gridCol w:w="1482"/>
        <w:gridCol w:w="146"/>
        <w:gridCol w:w="146"/>
        <w:gridCol w:w="369"/>
        <w:gridCol w:w="1309"/>
        <w:gridCol w:w="146"/>
        <w:gridCol w:w="146"/>
        <w:gridCol w:w="581"/>
        <w:gridCol w:w="1517"/>
        <w:gridCol w:w="195"/>
      </w:tblGrid>
      <w:tr>
        <w:trPr/>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Hedge-Adjusted Carrying Amount of the Hedged Assets at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Cumulative Amount of Fair Value Hedging Adjustment Subtracted from Carrying Amount of the Hedged Assets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Hedge-Adjusted Carrying Amount of the Hedged Assets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Cumulative Amount of Fair Value Hedging Adjustment Subtracted from Carrying Amount of the Hedged Assets at 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Line item on the balance sheet in which the hedged item is included: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Available-for-sale securities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 receivable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22"/>
        </w:rPr>
      </w:pPr>
      <w:r>
        <w:rPr>
          <w:rFonts w:ascii="Times New Roman" w:hAnsi="Times New Roman"/>
          <w:color w:val="000000"/>
          <w:sz w:val="16"/>
        </w:rPr>
        <w:t>The $69.1</w:t>
      </w:r>
      <w:r>
        <w:rPr>
          <w:rFonts w:ascii="Times New Roman" w:hAnsi="Times New Roman"/>
          <w:color w:val="000000"/>
          <w:sz w:val="22"/>
        </w:rPr>
        <w:t xml:space="preserve"> </w:t>
      </w:r>
      <w:r>
        <w:rPr>
          <w:rFonts w:ascii="Times New Roman" w:hAnsi="Times New Roman"/>
          <w:color w:val="000000"/>
          <w:sz w:val="16"/>
        </w:rPr>
        <w:t>million net carrying amount of hedged assets represents the hedge-adjusted amortized cost basis of specifically-identified municipal, Private label and GSE-backed securities designated as the underlying assets for the hedging relationships. The notional amount of the designated hedges were $67.7</w:t>
      </w:r>
      <w:r>
        <w:rPr>
          <w:rFonts w:ascii="Times New Roman" w:hAnsi="Times New Roman"/>
          <w:color w:val="000000"/>
          <w:sz w:val="22"/>
        </w:rPr>
        <w:t xml:space="preserve"> </w:t>
      </w:r>
      <w:r>
        <w:rPr>
          <w:rFonts w:ascii="Times New Roman" w:hAnsi="Times New Roman"/>
          <w:color w:val="000000"/>
          <w:sz w:val="16"/>
        </w:rPr>
        <w:t>million and $69.8</w:t>
      </w:r>
      <w:r>
        <w:rPr>
          <w:rFonts w:ascii="Times New Roman" w:hAnsi="Times New Roman"/>
          <w:color w:val="000000"/>
          <w:sz w:val="22"/>
        </w:rPr>
        <w:t xml:space="preserve"> </w:t>
      </w:r>
      <w:r>
        <w:rPr>
          <w:rFonts w:ascii="Times New Roman" w:hAnsi="Times New Roman"/>
          <w:color w:val="000000"/>
          <w:sz w:val="16"/>
        </w:rPr>
        <w:t>million at June 30, 2026 and December 31, 2025, respectively. The fair value of the derivatives (an unrealized gain, receivable from derivative counterparties) recorded in other assets resulted in a net asset position of $2.1</w:t>
      </w:r>
      <w:r>
        <w:rPr>
          <w:rFonts w:ascii="Times New Roman" w:hAnsi="Times New Roman"/>
          <w:color w:val="000000"/>
          <w:sz w:val="22"/>
        </w:rPr>
        <w:t xml:space="preserve"> </w:t>
      </w:r>
      <w:r>
        <w:rPr>
          <w:rFonts w:ascii="Times New Roman" w:hAnsi="Times New Roman"/>
          <w:color w:val="000000"/>
          <w:sz w:val="16"/>
        </w:rPr>
        <w:t>million and $1.3</w:t>
      </w:r>
      <w:r>
        <w:rPr>
          <w:rFonts w:ascii="Times New Roman" w:hAnsi="Times New Roman"/>
          <w:color w:val="000000"/>
          <w:sz w:val="22"/>
        </w:rPr>
        <w:t xml:space="preserve"> </w:t>
      </w:r>
      <w:r>
        <w:rPr>
          <w:rFonts w:ascii="Times New Roman" w:hAnsi="Times New Roman"/>
          <w:color w:val="000000"/>
          <w:sz w:val="16"/>
        </w:rPr>
        <w:t>million at June 30, 2026 and December 31, 2025, respectively. The Company's participation in fair value hedging transactions increased investment security interest income by $209,000</w:t>
      </w:r>
      <w:r>
        <w:rPr>
          <w:rFonts w:ascii="Times New Roman" w:hAnsi="Times New Roman"/>
          <w:color w:val="000000"/>
          <w:sz w:val="22"/>
        </w:rPr>
        <w:t xml:space="preserve"> </w:t>
      </w:r>
      <w:r>
        <w:rPr>
          <w:rFonts w:ascii="Times New Roman" w:hAnsi="Times New Roman"/>
          <w:color w:val="000000"/>
          <w:sz w:val="16"/>
        </w:rPr>
        <w:t>and $623,000</w:t>
      </w:r>
      <w:r>
        <w:rPr>
          <w:rFonts w:ascii="Times New Roman" w:hAnsi="Times New Roman"/>
          <w:color w:val="000000"/>
          <w:sz w:val="22"/>
        </w:rPr>
        <w:t xml:space="preserve"> </w:t>
      </w:r>
      <w:r>
        <w:rPr>
          <w:rFonts w:ascii="Times New Roman" w:hAnsi="Times New Roman"/>
          <w:color w:val="000000"/>
          <w:sz w:val="16"/>
        </w:rPr>
        <w:t>in the six month periods ended June 30, 2026 and June 30, 2025, respectively.</w:t>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sz w:val="22"/>
        </w:rPr>
      </w:pPr>
      <w:r>
        <w:rPr>
          <w:rFonts w:ascii="Times New Roman" w:hAnsi="Times New Roman"/>
          <w:color w:val="000000"/>
          <w:sz w:val="16"/>
        </w:rPr>
        <w:t>The $105.8</w:t>
      </w:r>
      <w:r>
        <w:rPr>
          <w:rFonts w:ascii="Times New Roman" w:hAnsi="Times New Roman"/>
          <w:color w:val="000000"/>
          <w:sz w:val="22"/>
        </w:rPr>
        <w:t xml:space="preserve"> </w:t>
      </w:r>
      <w:r>
        <w:rPr>
          <w:rFonts w:ascii="Times New Roman" w:hAnsi="Times New Roman"/>
          <w:color w:val="000000"/>
          <w:sz w:val="16"/>
        </w:rPr>
        <w:t>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$108.2</w:t>
      </w:r>
      <w:r>
        <w:rPr>
          <w:rFonts w:ascii="Times New Roman" w:hAnsi="Times New Roman"/>
          <w:color w:val="000000"/>
          <w:sz w:val="22"/>
        </w:rPr>
        <w:t xml:space="preserve"> </w:t>
      </w:r>
      <w:r>
        <w:rPr>
          <w:rFonts w:ascii="Times New Roman" w:hAnsi="Times New Roman"/>
          <w:color w:val="000000"/>
          <w:sz w:val="16"/>
        </w:rPr>
        <w:t>million and $113.1</w:t>
      </w:r>
      <w:r>
        <w:rPr>
          <w:rFonts w:ascii="Times New Roman" w:hAnsi="Times New Roman"/>
          <w:color w:val="000000"/>
          <w:sz w:val="22"/>
        </w:rPr>
        <w:t xml:space="preserve"> </w:t>
      </w:r>
      <w:r>
        <w:rPr>
          <w:rFonts w:ascii="Times New Roman" w:hAnsi="Times New Roman"/>
          <w:color w:val="000000"/>
          <w:sz w:val="16"/>
        </w:rPr>
        <w:t>million at June 30, 2026 and December 31, 2025, respectively. At June 30, 2026, the fair value of the derivatives recorded in other assets (an unrealized gain, receivable from derivative counterparties) resulted in a net asset position of $1.9</w:t>
      </w:r>
      <w:r>
        <w:rPr>
          <w:rFonts w:ascii="Times New Roman" w:hAnsi="Times New Roman"/>
          <w:color w:val="000000"/>
          <w:sz w:val="22"/>
        </w:rPr>
        <w:t xml:space="preserve"> </w:t>
      </w:r>
      <w:r>
        <w:rPr>
          <w:rFonts w:ascii="Times New Roman" w:hAnsi="Times New Roman"/>
          <w:color w:val="000000"/>
          <w:sz w:val="16"/>
        </w:rPr>
        <w:t>million, recorded by the Company as a component of other assets. The Company’s participation in fair value hedging transactions increased interest income by $150,000</w:t>
      </w:r>
      <w:r>
        <w:rPr>
          <w:rFonts w:ascii="Times New Roman" w:hAnsi="Times New Roman"/>
          <w:color w:val="000000"/>
          <w:sz w:val="22"/>
        </w:rPr>
        <w:t xml:space="preserve"> </w:t>
      </w:r>
      <w:r>
        <w:rPr>
          <w:rFonts w:ascii="Times New Roman" w:hAnsi="Times New Roman"/>
          <w:color w:val="000000"/>
          <w:sz w:val="16"/>
        </w:rPr>
        <w:t>and $543,000</w:t>
      </w:r>
      <w:r>
        <w:rPr>
          <w:rFonts w:ascii="Times New Roman" w:hAnsi="Times New Roman"/>
          <w:color w:val="000000"/>
          <w:sz w:val="22"/>
        </w:rPr>
        <w:t xml:space="preserve"> </w:t>
      </w:r>
      <w:r>
        <w:rPr>
          <w:rFonts w:ascii="Times New Roman" w:hAnsi="Times New Roman"/>
          <w:color w:val="000000"/>
          <w:sz w:val="16"/>
        </w:rPr>
        <w:t>in the six-month period ended June 30, 2026 and June 30, 2025, respectively. Details of the two loan hedging strategies, in place at June 30, 2026 are presented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sz w:val="22"/>
        </w:rPr>
      </w:pPr>
      <w:r>
        <w:rPr>
          <w:rFonts w:ascii="Times New Roman" w:hAnsi="Times New Roman"/>
          <w:color w:val="000000"/>
          <w:sz w:val="16"/>
        </w:rPr>
        <w:t>On April 7, 2023 the Bank entered into an amortizing swap transaction with an initial notional amount of $100.0</w:t>
      </w:r>
      <w:r>
        <w:rPr>
          <w:rFonts w:ascii="Times New Roman" w:hAnsi="Times New Roman"/>
          <w:color w:val="000000"/>
          <w:sz w:val="22"/>
        </w:rPr>
        <w:t xml:space="preserve"> </w:t>
      </w:r>
      <w:r>
        <w:rPr>
          <w:rFonts w:ascii="Times New Roman" w:hAnsi="Times New Roman"/>
          <w:color w:val="000000"/>
          <w:sz w:val="16"/>
        </w:rPr>
        <w:t>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$63.2</w:t>
      </w:r>
      <w:r>
        <w:rPr>
          <w:rFonts w:ascii="Times New Roman" w:hAnsi="Times New Roman"/>
          <w:color w:val="000000"/>
          <w:sz w:val="22"/>
        </w:rPr>
        <w:t xml:space="preserve"> </w:t>
      </w:r>
      <w:r>
        <w:rPr>
          <w:rFonts w:ascii="Times New Roman" w:hAnsi="Times New Roman"/>
          <w:color w:val="000000"/>
          <w:sz w:val="16"/>
        </w:rPr>
        <w:t>million at June 30, 2026. The Bank will pay a fixed rate of 3.208% to the contract's counterparty throughout the life of the contract based on each month's beginning notional balance. The fair value of this swap contract was $1.8</w:t>
      </w:r>
      <w:r>
        <w:rPr>
          <w:rFonts w:ascii="Times New Roman" w:hAnsi="Times New Roman"/>
          <w:color w:val="000000"/>
          <w:sz w:val="22"/>
        </w:rPr>
        <w:t xml:space="preserve"> </w:t>
      </w:r>
      <w:r>
        <w:rPr>
          <w:rFonts w:ascii="Times New Roman" w:hAnsi="Times New Roman"/>
          <w:color w:val="000000"/>
          <w:sz w:val="16"/>
        </w:rPr>
        <w:t>million at June 30, 2026.</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sz w:val="22"/>
        </w:rPr>
      </w:pPr>
      <w:r>
        <w:rPr>
          <w:rFonts w:ascii="Times New Roman" w:hAnsi="Times New Roman"/>
          <w:color w:val="000000"/>
          <w:sz w:val="16"/>
        </w:rPr>
        <w:t>On December 7, 2023, the Bank entered into five fixed-pay interest rate swap contracts with a total notional amount of $50.0</w:t>
      </w:r>
      <w:r>
        <w:rPr>
          <w:rFonts w:ascii="Times New Roman" w:hAnsi="Times New Roman"/>
          <w:color w:val="000000"/>
          <w:sz w:val="22"/>
        </w:rPr>
        <w:t xml:space="preserve"> </w:t>
      </w:r>
      <w:r>
        <w:rPr>
          <w:rFonts w:ascii="Times New Roman" w:hAnsi="Times New Roman"/>
          <w:color w:val="000000"/>
          <w:sz w:val="16"/>
        </w:rPr>
        <w:t>million, whereby the Bank will receive the 3-month rate SOFR monthly until the respective maturity dates of the contracts. The contracts expire in annual increments on December 1 of 2025 ($5.0</w:t>
      </w:r>
      <w:r>
        <w:rPr>
          <w:rFonts w:ascii="Times New Roman" w:hAnsi="Times New Roman"/>
          <w:color w:val="000000"/>
          <w:sz w:val="22"/>
        </w:rPr>
        <w:t xml:space="preserve"> </w:t>
      </w:r>
      <w:r>
        <w:rPr>
          <w:rFonts w:ascii="Times New Roman" w:hAnsi="Times New Roman"/>
          <w:color w:val="000000"/>
          <w:sz w:val="16"/>
        </w:rPr>
        <w:t>million, fixed rate of 4.463%), 2026 ($5.0</w:t>
      </w:r>
      <w:r>
        <w:rPr>
          <w:rFonts w:ascii="Times New Roman" w:hAnsi="Times New Roman"/>
          <w:color w:val="000000"/>
          <w:sz w:val="22"/>
        </w:rPr>
        <w:t xml:space="preserve"> </w:t>
      </w:r>
      <w:r>
        <w:rPr>
          <w:rFonts w:ascii="Times New Roman" w:hAnsi="Times New Roman"/>
          <w:color w:val="000000"/>
          <w:sz w:val="16"/>
        </w:rPr>
        <w:t>million, fixed rate of 4.136%), 2027 ($10.0</w:t>
      </w:r>
      <w:r>
        <w:rPr>
          <w:rFonts w:ascii="Times New Roman" w:hAnsi="Times New Roman"/>
          <w:color w:val="000000"/>
          <w:sz w:val="22"/>
        </w:rPr>
        <w:t xml:space="preserve"> </w:t>
      </w:r>
      <w:r>
        <w:rPr>
          <w:rFonts w:ascii="Times New Roman" w:hAnsi="Times New Roman"/>
          <w:color w:val="000000"/>
          <w:sz w:val="16"/>
        </w:rPr>
        <w:t>million, fixed rate of 3.973%), 2028 ($15.0</w:t>
      </w:r>
      <w:r>
        <w:rPr>
          <w:rFonts w:ascii="Times New Roman" w:hAnsi="Times New Roman"/>
          <w:color w:val="000000"/>
          <w:sz w:val="22"/>
        </w:rPr>
        <w:t xml:space="preserve"> </w:t>
      </w:r>
      <w:r>
        <w:rPr>
          <w:rFonts w:ascii="Times New Roman" w:hAnsi="Times New Roman"/>
          <w:color w:val="000000"/>
          <w:sz w:val="16"/>
        </w:rPr>
        <w:t>million, fixed rate of 3.887%), and 2029 ($15.0</w:t>
      </w:r>
      <w:r>
        <w:rPr>
          <w:rFonts w:ascii="Times New Roman" w:hAnsi="Times New Roman"/>
          <w:color w:val="000000"/>
          <w:sz w:val="22"/>
        </w:rPr>
        <w:t xml:space="preserve"> </w:t>
      </w:r>
      <w:r>
        <w:rPr>
          <w:rFonts w:ascii="Times New Roman" w:hAnsi="Times New Roman"/>
          <w:color w:val="000000"/>
          <w:sz w:val="16"/>
        </w:rPr>
        <w:t>million, fixed rate of 3.845%). The fair value of these swap contracts in aggregate was $87,000</w:t>
      </w:r>
      <w:r>
        <w:rPr>
          <w:rFonts w:ascii="Times New Roman" w:hAnsi="Times New Roman"/>
          <w:color w:val="000000"/>
          <w:sz w:val="22"/>
        </w:rPr>
        <w:t xml:space="preserve"> </w:t>
      </w:r>
      <w:r>
        <w:rPr>
          <w:rFonts w:ascii="Times New Roman" w:hAnsi="Times New Roman"/>
          <w:color w:val="000000"/>
          <w:sz w:val="16"/>
        </w:rPr>
        <w:t>(a receivable to the swap counterparty) at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hedging contracts accounted for as fair value hedges, increased the yield on investment securities and loans by 0.05% and 0.03%, respectively, in the six months ended June 30, 2026. The Company's hedging contracts accounted for as fair value hedges, increased the yield on investment securities and loans by 0.15% and 0.12%, respectively, in the six months ended June 30, 2025.</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net effects of the Company's fair value and cash flow hedges for the six months ended June 30, 2026 and June 30, 2025, respectively: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69"/>
        <w:gridCol w:w="146"/>
        <w:gridCol w:w="353"/>
        <w:gridCol w:w="1245"/>
        <w:gridCol w:w="151"/>
        <w:gridCol w:w="151"/>
        <w:gridCol w:w="411"/>
        <w:gridCol w:w="1452"/>
        <w:gridCol w:w="151"/>
        <w:gridCol w:w="151"/>
        <w:gridCol w:w="649"/>
        <w:gridCol w:w="1703"/>
        <w:gridCol w:w="151"/>
        <w:gridCol w:w="151"/>
        <w:gridCol w:w="573"/>
        <w:gridCol w:w="1499"/>
        <w:gridCol w:w="199"/>
      </w:tblGrid>
      <w:tr>
        <w:trPr/>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Fair Value Hedges for the six months ended June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Notional Balance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Period Ending Notional Balance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Net Cash Received Recorded In 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Fair Value Receivable at Period End</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110,205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178,810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175,931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Fair Value Hedges for the six months ended June 30, 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Notional Balance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Period Ending Notional Balance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Net Cash Received Recorded In 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Fair Value Receivable at Period End</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82,056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125,599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123,314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204,282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95"/>
        <w:gridCol w:w="146"/>
        <w:gridCol w:w="810"/>
        <w:gridCol w:w="688"/>
        <w:gridCol w:w="207"/>
        <w:gridCol w:w="207"/>
        <w:gridCol w:w="946"/>
        <w:gridCol w:w="804"/>
        <w:gridCol w:w="207"/>
        <w:gridCol w:w="207"/>
        <w:gridCol w:w="802"/>
        <w:gridCol w:w="1467"/>
        <w:gridCol w:w="207"/>
        <w:gridCol w:w="207"/>
        <w:gridCol w:w="1086"/>
        <w:gridCol w:w="923"/>
        <w:gridCol w:w="196"/>
      </w:tblGrid>
      <w:tr>
        <w:trPr/>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Cash Flow Hedges for the six months ended 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Notional Balance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Period Ending Notional Balance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Net Cash Received Recorded In Net Income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Fair Value Receivable at Period End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Borrowed Funds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Cash Flow Hedges for the six months ended 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Notional Balance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Period Ending Notional Balance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Net Cash Received Recorded In Net Income</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Fair Value Receivable at Period End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Borrowed Funds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Of this total gain, $458,000 was recognized as a reduction of interest expense in substantially equal monthly installments through April 30, 2026, consistent with the original maturity of the associated hedging contracts. The remaining $308,000 continues to be recognized as a reduction of interest expense in substantially equal monthly installments through April 30,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of hedge ineffectiveness, recognized at June 30, 2026 and December 31, 2025 for cash flow hedges were not material to the Company’s consolidated results of operations. A portion of, or the entire amount included in AOCI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June 30, 2026.</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Note 12: Accumulated Other Comprehensive (Loss)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the components of AOCI, net of tax, for the periods indicated are summarized in the tables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1"/>
        <w:gridCol w:w="146"/>
        <w:gridCol w:w="438"/>
        <w:gridCol w:w="1280"/>
        <w:gridCol w:w="166"/>
        <w:gridCol w:w="146"/>
        <w:gridCol w:w="572"/>
        <w:gridCol w:w="1671"/>
        <w:gridCol w:w="166"/>
        <w:gridCol w:w="146"/>
        <w:gridCol w:w="761"/>
        <w:gridCol w:w="1348"/>
        <w:gridCol w:w="166"/>
        <w:gridCol w:w="146"/>
        <w:gridCol w:w="196"/>
        <w:gridCol w:w="571"/>
        <w:gridCol w:w="215"/>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 June 30, 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Net Unrealized Loss on 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Loss on Available-for-Sale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Gain on Derivatives and Hedging Activities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from AOCI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1"/>
        <w:gridCol w:w="146"/>
        <w:gridCol w:w="438"/>
        <w:gridCol w:w="1280"/>
        <w:gridCol w:w="166"/>
        <w:gridCol w:w="146"/>
        <w:gridCol w:w="572"/>
        <w:gridCol w:w="1671"/>
        <w:gridCol w:w="166"/>
        <w:gridCol w:w="146"/>
        <w:gridCol w:w="723"/>
        <w:gridCol w:w="1387"/>
        <w:gridCol w:w="166"/>
        <w:gridCol w:w="146"/>
        <w:gridCol w:w="196"/>
        <w:gridCol w:w="571"/>
        <w:gridCol w:w="214"/>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 June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Net Unrealized Loss on 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Loss on Available-for-Sale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Gain on Derivatives and Hedging Activities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from AOCI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1"/>
        <w:gridCol w:w="146"/>
        <w:gridCol w:w="438"/>
        <w:gridCol w:w="1280"/>
        <w:gridCol w:w="166"/>
        <w:gridCol w:w="146"/>
        <w:gridCol w:w="572"/>
        <w:gridCol w:w="1671"/>
        <w:gridCol w:w="166"/>
        <w:gridCol w:w="146"/>
        <w:gridCol w:w="723"/>
        <w:gridCol w:w="1387"/>
        <w:gridCol w:w="166"/>
        <w:gridCol w:w="146"/>
        <w:gridCol w:w="196"/>
        <w:gridCol w:w="571"/>
        <w:gridCol w:w="214"/>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 June 30, 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Net Unrealized Loss on 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Loss on Available-for-Sale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Gain on Derivatives and Hedging Activities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from AOCI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1"/>
        <w:gridCol w:w="146"/>
        <w:gridCol w:w="425"/>
        <w:gridCol w:w="1241"/>
        <w:gridCol w:w="166"/>
        <w:gridCol w:w="146"/>
        <w:gridCol w:w="559"/>
        <w:gridCol w:w="1632"/>
        <w:gridCol w:w="166"/>
        <w:gridCol w:w="146"/>
        <w:gridCol w:w="629"/>
        <w:gridCol w:w="1404"/>
        <w:gridCol w:w="166"/>
        <w:gridCol w:w="146"/>
        <w:gridCol w:w="196"/>
        <w:gridCol w:w="571"/>
        <w:gridCol w:w="215"/>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 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Net Unrealized Loss on Retirement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Loss on Available-for-Sale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Unrealized Gain on Derivatives and Hedging Activities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from AOCI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amounts reclassified out of each component of AOCI for the indicated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74"/>
        <w:gridCol w:w="146"/>
        <w:gridCol w:w="2683"/>
        <w:gridCol w:w="146"/>
        <w:gridCol w:w="462"/>
        <w:gridCol w:w="443"/>
        <w:gridCol w:w="219"/>
        <w:gridCol w:w="219"/>
        <w:gridCol w:w="338"/>
        <w:gridCol w:w="596"/>
        <w:gridCol w:w="166"/>
        <w:gridCol w:w="146"/>
        <w:gridCol w:w="462"/>
        <w:gridCol w:w="443"/>
        <w:gridCol w:w="205"/>
        <w:gridCol w:w="205"/>
        <w:gridCol w:w="338"/>
        <w:gridCol w:w="596"/>
        <w:gridCol w:w="218"/>
      </w:tblGrid>
      <w:tr>
        <w:trPr/>
        <w:tc>
          <w:tcPr>
            <w:tcW w:w="2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Amount Reclassified from AOCI </w:t>
            </w:r>
            <w:r>
              <w:rPr>
                <w:rFonts w:ascii="Times New Roman" w:hAnsi="Times New Roman"/>
                <w:b/>
                <w:color w:val="000000"/>
                <w:sz w:val="11"/>
              </w:rPr>
              <w:t>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 xml:space="preserve">Details about AOCI </w:t>
            </w:r>
            <w:r>
              <w:rPr>
                <w:rFonts w:ascii="Times New Roman" w:hAnsi="Times New Roman"/>
                <w:b/>
                <w:color w:val="000000"/>
                <w:sz w:val="11"/>
              </w:rPr>
              <w:t>1</w:t>
            </w:r>
            <w:r>
              <w:rPr>
                <w:rFonts w:ascii="Times New Roman" w:hAnsi="Times New Roman"/>
                <w:color w:val="000000"/>
                <w:sz w:val="17"/>
              </w:rPr>
              <w:t> </w:t>
            </w:r>
            <w:r>
              <w:rPr>
                <w:rFonts w:ascii="Times New Roman" w:hAnsi="Times New Roman"/>
                <w:b/>
                <w:color w:val="000000"/>
                <w:sz w:val="17"/>
              </w:rPr>
              <w:t>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Affected Line Item in the Statement of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u w:val="single"/>
              </w:rPr>
            </w:pPr>
            <w:r>
              <w:rPr>
                <w:rFonts w:ascii="Times New Roman" w:hAnsi="Times New Roman"/>
                <w:color w:val="000000"/>
                <w:sz w:val="17"/>
                <w:u w:val="single"/>
              </w:rPr>
              <w:t>Retirement plan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7"/>
              </w:rPr>
              <w:t>Retirement plan net gains (losses)</w:t>
              <w:br/>
              <w:t>   recognized in plan expenses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effect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Provision for income taxes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u w:val="single"/>
              </w:rPr>
            </w:pPr>
            <w:r>
              <w:rPr>
                <w:rFonts w:ascii="Times New Roman" w:hAnsi="Times New Roman"/>
                <w:color w:val="000000"/>
                <w:sz w:val="17"/>
                <w:u w:val="single"/>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Realized losses on sale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 xml:space="preserve">Net realized losses on sales and </w:t>
              <w:br/>
              <w:t>   redemptions of investment</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effect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Provision for income taxes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Amounts in parentheses indicate debits in net income.</w:t>
      </w:r>
    </w:p>
    <w:p>
      <w:pPr>
        <w:pStyle w:val="TextBody"/>
        <w:bidi w:val="0"/>
        <w:jc w:val="both"/>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These items are included in net periodic pension cost. See Note 5 for additional information.</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39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Note 13: Noninterest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included the following table regarding the Company’s noninterest income for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2"/>
        <w:gridCol w:w="146"/>
        <w:gridCol w:w="298"/>
        <w:gridCol w:w="780"/>
        <w:gridCol w:w="195"/>
        <w:gridCol w:w="171"/>
        <w:gridCol w:w="276"/>
        <w:gridCol w:w="808"/>
        <w:gridCol w:w="166"/>
        <w:gridCol w:w="146"/>
        <w:gridCol w:w="298"/>
        <w:gridCol w:w="780"/>
        <w:gridCol w:w="180"/>
        <w:gridCol w:w="158"/>
        <w:gridCol w:w="276"/>
        <w:gridCol w:w="808"/>
        <w:gridCol w:w="597"/>
      </w:tblGrid>
      <w:tr>
        <w:trPr/>
        <w:tc>
          <w:tcPr>
            <w:tcW w:w="4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Insufficient funds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Deposit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ATM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Investment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ATM fees surcharge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Banking house rents collected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7"/>
              </w:rPr>
              <w:t>Total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Card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Debit card interchange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Merchant card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7"/>
              </w:rPr>
              <w:t>Total card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Mortgage fee income and realized gains on sales of loans </w:t>
              <w:br/>
              <w:t>  and 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Loan servicing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gains on sales of loans and foreclosed real estate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 xml:space="preserve">Total mortgage fee income and realized gains on </w:t>
              <w:br/>
              <w:t>   sale of loans and foreclosed 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Earnings and gains on 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losses on sales and redemptions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(losses) gains on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Fair value adjustment to loans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41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miscellaneous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noninterest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discussion of key revenues within the scope of ASC 606 guidance: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2"/>
        </w:rPr>
      </w:pPr>
      <w:r>
        <w:rPr>
          <w:rFonts w:ascii="Times New Roman" w:hAnsi="Times New Roman"/>
          <w:i/>
          <w:color w:val="000000"/>
          <w:sz w:val="20"/>
        </w:rPr>
        <w:t xml:space="preserve">Service charges on deposit accounts – </w:t>
      </w:r>
      <w:r>
        <w:rPr>
          <w:rFonts w:ascii="Times New Roman" w:hAnsi="Times New Roman"/>
          <w:color w:val="000000"/>
          <w:sz w:val="20"/>
        </w:rPr>
        <w:t>Revenue is earned through insufficient funds fees, customer initiated activities or 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2"/>
        </w:rPr>
      </w:pPr>
      <w:r>
        <w:rPr>
          <w:rFonts w:ascii="Times New Roman" w:hAnsi="Times New Roman"/>
          <w:i/>
          <w:color w:val="000000"/>
          <w:sz w:val="20"/>
        </w:rPr>
        <w:t xml:space="preserve">Fee income – </w:t>
      </w:r>
      <w:r>
        <w:rPr>
          <w:rFonts w:ascii="Times New Roman" w:hAnsi="Times New Roman"/>
          <w:color w:val="000000"/>
          <w:sz w:val="20"/>
        </w:rPr>
        <w:t>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2"/>
        </w:rPr>
      </w:pPr>
      <w:r>
        <w:rPr>
          <w:rFonts w:ascii="Times New Roman" w:hAnsi="Times New Roman"/>
          <w:i/>
          <w:color w:val="000000"/>
          <w:sz w:val="20"/>
        </w:rPr>
        <w:t xml:space="preserve">Card income – </w:t>
      </w:r>
      <w:r>
        <w:rPr>
          <w:rFonts w:ascii="Times New Roman" w:hAnsi="Times New Roman"/>
          <w:color w:val="000000"/>
          <w:sz w:val="20"/>
        </w:rPr>
        <w:t xml:space="preserve">Card income consists of interchange fees from consumer debit card networks and other related services. Interchange rates are set by the card networks. Interchange fees are based on purchase volumes and other factors and are recognized as transactions occur.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2"/>
        </w:rPr>
      </w:pPr>
      <w:r>
        <w:rPr>
          <w:rFonts w:ascii="Times New Roman" w:hAnsi="Times New Roman"/>
          <w:i/>
          <w:color w:val="000000"/>
          <w:sz w:val="20"/>
        </w:rPr>
        <w:t>Mortgage fee income and realized gain on sale of loans and foreclosed real estate</w:t>
      </w:r>
      <w:r>
        <w:rPr>
          <w:rFonts w:ascii="Times New Roman" w:hAnsi="Times New Roman"/>
          <w:color w:val="000000"/>
          <w:sz w:val="22"/>
        </w:rPr>
        <w:t xml:space="preserve"> – </w:t>
      </w:r>
      <w:r>
        <w:rPr>
          <w:rFonts w:ascii="Times New Roman" w:hAnsi="Times New Roman"/>
          <w:color w:val="000000"/>
          <w:sz w:val="20"/>
        </w:rPr>
        <w:t>Revenue from mortgage fee income and realized gain on sale of loans and foreclosed real estate is earned through the origination of residential and commercial mortgage loans, sales of one-to-four family residential mortgage loans, sales of government guarantees portions of SBA loans, and sales of foreclosed real estate, and is earned as the transaction occurs.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r>
        <w:rPr>
          <w:rFonts w:ascii="Times New Roman" w:hAnsi="Times New Roman"/>
          <w:b/>
          <w:color w:val="000000"/>
          <w:sz w:val="22"/>
        </w:rPr>
        <w:t>Note 14: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operating and finance leases for certain banking offices and land under noncancelable agreements. Our leases have remaining lease terms that vary from less than 1 year up to 27 years, some of which include options to extend the leases for various renewal periods. All options to renew are included in the current lease term when we believe it is reasonably certain that the renewal options will be exercised.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7564" w:type="dxa"/>
        <w:jc w:val="left"/>
        <w:tblInd w:w="0" w:type="dxa"/>
        <w:tblLayout w:type="fixed"/>
        <w:tblCellMar>
          <w:top w:w="28" w:type="dxa"/>
          <w:left w:w="28" w:type="dxa"/>
          <w:bottom w:w="28" w:type="dxa"/>
          <w:right w:w="28" w:type="dxa"/>
        </w:tblCellMar>
      </w:tblPr>
      <w:tblGrid>
        <w:gridCol w:w="1501"/>
        <w:gridCol w:w="146"/>
        <w:gridCol w:w="385"/>
        <w:gridCol w:w="740"/>
        <w:gridCol w:w="218"/>
        <w:gridCol w:w="218"/>
        <w:gridCol w:w="385"/>
        <w:gridCol w:w="740"/>
        <w:gridCol w:w="146"/>
        <w:gridCol w:w="146"/>
        <w:gridCol w:w="385"/>
        <w:gridCol w:w="740"/>
        <w:gridCol w:w="199"/>
        <w:gridCol w:w="199"/>
        <w:gridCol w:w="385"/>
        <w:gridCol w:w="740"/>
        <w:gridCol w:w="2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lease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leases was as follows:</w:t>
      </w:r>
    </w:p>
    <w:p>
      <w:pPr>
        <w:pStyle w:val="TextBody"/>
        <w:bidi w:val="0"/>
        <w:jc w:val="both"/>
        <w:rPr/>
      </w:pPr>
      <w:r>
        <w:rPr/>
        <w:t> </w:t>
      </w:r>
    </w:p>
    <w:tbl>
      <w:tblPr>
        <w:tblW w:w="9369" w:type="dxa"/>
        <w:jc w:val="left"/>
        <w:tblInd w:w="0" w:type="dxa"/>
        <w:tblLayout w:type="fixed"/>
        <w:tblCellMar>
          <w:top w:w="28" w:type="dxa"/>
          <w:left w:w="28" w:type="dxa"/>
          <w:bottom w:w="28" w:type="dxa"/>
          <w:right w:w="28" w:type="dxa"/>
        </w:tblCellMar>
      </w:tblPr>
      <w:tblGrid>
        <w:gridCol w:w="3406"/>
        <w:gridCol w:w="146"/>
        <w:gridCol w:w="385"/>
        <w:gridCol w:w="740"/>
        <w:gridCol w:w="218"/>
        <w:gridCol w:w="218"/>
        <w:gridCol w:w="385"/>
        <w:gridCol w:w="740"/>
        <w:gridCol w:w="146"/>
        <w:gridCol w:w="146"/>
        <w:gridCol w:w="385"/>
        <w:gridCol w:w="740"/>
        <w:gridCol w:w="199"/>
        <w:gridCol w:w="199"/>
        <w:gridCol w:w="385"/>
        <w:gridCol w:w="740"/>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3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Financing cash flows from 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was as follows:</w:t>
      </w:r>
    </w:p>
    <w:p>
      <w:pPr>
        <w:pStyle w:val="TextBody"/>
        <w:bidi w:val="0"/>
        <w:jc w:val="both"/>
        <w:rPr/>
      </w:pPr>
      <w:r>
        <w:rPr/>
        <w:t> </w:t>
      </w:r>
    </w:p>
    <w:tbl>
      <w:tblPr>
        <w:tblW w:w="8145" w:type="dxa"/>
        <w:jc w:val="left"/>
        <w:tblInd w:w="0" w:type="dxa"/>
        <w:tblLayout w:type="fixed"/>
        <w:tblCellMar>
          <w:top w:w="28" w:type="dxa"/>
          <w:left w:w="28" w:type="dxa"/>
          <w:bottom w:w="28" w:type="dxa"/>
          <w:right w:w="28" w:type="dxa"/>
        </w:tblCellMar>
      </w:tblPr>
      <w:tblGrid>
        <w:gridCol w:w="3661"/>
        <w:gridCol w:w="246"/>
        <w:gridCol w:w="380"/>
        <w:gridCol w:w="1165"/>
        <w:gridCol w:w="241"/>
        <w:gridCol w:w="146"/>
        <w:gridCol w:w="472"/>
        <w:gridCol w:w="1448"/>
        <w:gridCol w:w="386"/>
      </w:tblGrid>
      <w:tr>
        <w:trPr/>
        <w:tc>
          <w:tcPr>
            <w:tcW w:w="3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lease term and discount rate)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As of 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As of December 31, 2025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1,304</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15,885</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16,390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Remaining Lease Term:</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7"/>
              </w:rPr>
              <w:t>18.10</w:t>
            </w:r>
            <w:r>
              <w:rPr>
                <w:rFonts w:ascii="Times New Roman" w:hAnsi="Times New Roman"/>
                <w:color w:val="000000"/>
                <w:sz w:val="20"/>
              </w:rPr>
              <w:t> </w:t>
            </w:r>
            <w:r>
              <w:rPr>
                <w:rFonts w:ascii="Times New Roman" w:hAnsi="Times New Roman"/>
                <w:color w:val="000000"/>
                <w:sz w:val="17"/>
              </w:rPr>
              <w:t>years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7"/>
              </w:rPr>
              <w:t>18.11</w:t>
            </w:r>
            <w:r>
              <w:rPr>
                <w:rFonts w:ascii="Times New Roman" w:hAnsi="Times New Roman"/>
                <w:color w:val="000000"/>
                <w:sz w:val="20"/>
              </w:rPr>
              <w:t> </w:t>
            </w:r>
            <w:r>
              <w:rPr>
                <w:rFonts w:ascii="Times New Roman" w:hAnsi="Times New Roman"/>
                <w:color w:val="000000"/>
                <w:sz w:val="17"/>
              </w:rPr>
              <w:t>years</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7"/>
              </w:rPr>
              <w:t>20.54</w:t>
            </w:r>
            <w:r>
              <w:rPr>
                <w:rFonts w:ascii="Times New Roman" w:hAnsi="Times New Roman"/>
                <w:color w:val="000000"/>
                <w:sz w:val="20"/>
              </w:rPr>
              <w:t> </w:t>
            </w:r>
            <w:r>
              <w:rPr>
                <w:rFonts w:ascii="Times New Roman" w:hAnsi="Times New Roman"/>
                <w:color w:val="000000"/>
                <w:sz w:val="17"/>
              </w:rPr>
              <w:t>years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7"/>
              </w:rPr>
              <w:t>21.02</w:t>
            </w:r>
            <w:r>
              <w:rPr>
                <w:rFonts w:ascii="Times New Roman" w:hAnsi="Times New Roman"/>
                <w:color w:val="000000"/>
                <w:sz w:val="20"/>
              </w:rPr>
              <w:t> </w:t>
            </w:r>
            <w:r>
              <w:rPr>
                <w:rFonts w:ascii="Times New Roman" w:hAnsi="Times New Roman"/>
                <w:color w:val="000000"/>
                <w:sz w:val="17"/>
              </w:rPr>
              <w:t>years</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Discount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36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Finance leases</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future maturities of lease liabilities are as follows:</w:t>
      </w:r>
    </w:p>
    <w:p>
      <w:pPr>
        <w:pStyle w:val="TextBody"/>
        <w:bidi w:val="0"/>
        <w:jc w:val="both"/>
        <w:rPr/>
      </w:pPr>
      <w:r>
        <w:rPr/>
        <w:t> </w:t>
      </w:r>
    </w:p>
    <w:tbl>
      <w:tblPr>
        <w:tblW w:w="6275" w:type="dxa"/>
        <w:jc w:val="left"/>
        <w:tblInd w:w="0" w:type="dxa"/>
        <w:tblLayout w:type="fixed"/>
        <w:tblCellMar>
          <w:top w:w="28" w:type="dxa"/>
          <w:left w:w="28" w:type="dxa"/>
          <w:bottom w:w="28" w:type="dxa"/>
          <w:right w:w="28" w:type="dxa"/>
        </w:tblCellMar>
      </w:tblPr>
      <w:tblGrid>
        <w:gridCol w:w="2996"/>
        <w:gridCol w:w="146"/>
        <w:gridCol w:w="378"/>
        <w:gridCol w:w="987"/>
        <w:gridCol w:w="146"/>
        <w:gridCol w:w="146"/>
        <w:gridCol w:w="291"/>
        <w:gridCol w:w="894"/>
        <w:gridCol w:w="2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Twelve Months Ending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Finance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future maturities of lease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owns certain properties that it leases to unaffiliated third parties at market rates. Lease rental income was $111,000 and $92,000 for the three months ended June 30, 2026 and 2025, respectively. Lease rental income was $223,000 and $153,000 for the six months ended June 30, 2026 and 2025, respectively. All rental agreements with lessees are accounted for as operating leases.</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2"/>
        </w:rPr>
      </w:pPr>
      <w:bookmarkStart w:id="11" w:name="item_2_managements_discussion_analysis_f"/>
      <w:bookmarkEnd w:id="11"/>
      <w:r>
        <w:rPr>
          <w:rFonts w:ascii="Times New Roman" w:hAnsi="Times New Roman"/>
          <w:b/>
          <w:color w:val="000000"/>
          <w:sz w:val="22"/>
        </w:rPr>
        <w:t>Item 2. Management's Discussion and Analysis of Financial Condition and Results of Operations (Unaudited)</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General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 Maryland corporation headquartered in Oswego, New York. The Company is 100% owned by public shareholders. The primary business of the Company is its investment in the Bank, a New York State chartered commercial bank, which is 100% owned by the Company. The Bank has two wholly owned operating subsidiaries, PRMC and Whispering Oaks. All significant inter-company accounts and activity have been eliminated in consolidation.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the Company and subsidiaries had total consolidated assets of $1.49 billion, total consolidated liabilities of $1.37 billion and shareholders' equity of $125.7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discussion reviews the Company's financial condition at June 30, 2026 and the results of operations for the three and six month periods ended June 30, 2026 and 2025. Operating results for the three and six months ended June 30, 2026 are not necessarily indicative of the results that may be expected for the year ending December 31, 2026 or any other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2025 Annual Report filed with the SEC on March 30, 2026 (“the consolidated annual financial statements”) as of December 31, 2025 and 2024 and for the two years then ended. Therefore, only material changes in financial condition and results of operations are discussed in the remainder of Item 2.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statements contained herein are “forward looking statements” within the meaning of Section 27A of the Securities Act of 1933 and Section 21E of the Securities Exchange Act of 1934. These forward-looking statements concern the financial condition, results of operations, plans, objectives, future performance and business of the Company and its subsidiaries, including, but not limited to, the Bank.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Forward-looking statements are generally identified by use of the words “believes,”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Actual results may differ materially from those expressed or implied by the forward-looking statements as a result of numerous factors. Although it is not possible to identify all factors that may cause actual results to differ materially from those described in forward-looking statements, factors that may cause actual results to differ materially include, but are not limited to: (i) risks related to the real estate and economic environment, particularly in the market areas in which the Company and the Bank operate; (ii) fiscal and monetary policies of the U.S. Government; (iii) inflation; (iv) changes in prevailing interest rates; (v) changes in government regulations affecting financial institutions, including regulatory compliance costs and capital requirements; (vi) the risk that actual credit losses, borrower performance, collateral values, or loan migration patterns differ from management’s forward-looking estimates or assumptions; (vii) fluctuations in the adequacy of the ACL; (viii) decreases in deposit levels or changes in deposit mix that may necessitate increased borrowing to fund loans and investments; (ix) access to wholesale or other funding sources; (x) operational risks including, cybersecurity threats, fraud, model risk and natural disasters; (xi) credit risk management; (xii) political developments, wars or other hostilities that may disrupt financial markets or economic conditions; (xiii) volatility or adverse trends in the securities markets that could affect the value of the Company’s investment portfolio or broader financial conditions; (xiv) delays or incomplete resolution of regulatory matters or supervisory issues that could impact the Company’s planning or operations; (xv) the outcome of regulatory or legal investigations, proceedings or other matters that may arise from time to time; and (xvi) the risk that the Company may not be successful in the implementation of its business strategy.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 factors that could cause actual results to differ materially are described in other periodic filings with the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p>
    <w:p>
      <w:pPr>
        <w:pStyle w:val="TextBody"/>
        <w:bidi w:val="0"/>
        <w:jc w:val="both"/>
        <w:rPr>
          <w:rFonts w:ascii="Times New Roman" w:hAnsi="Times New Roman"/>
          <w:color w:val="000000"/>
          <w:sz w:val="20"/>
        </w:rPr>
      </w:pPr>
      <w:r>
        <w:rPr>
          <w:rFonts w:ascii="Times New Roman" w:hAnsi="Times New Roman"/>
          <w:color w:val="000000"/>
          <w:sz w:val="20"/>
        </w:rPr>
        <w:br/>
        <w:t xml:space="preserve">Given these risks and uncertainties, investors should not place undue reliance on forward-looking statements as predictions of future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 xml:space="preserve">results. Any forward-looking statement speaks only as of the date on which it is made, and the Company undertakes no obligation to update or revise any forward-looking statement, whether as a result of new information, future events, or otherwise, except as required by applicable law.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Application of 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ACL,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applies ASC 326, </w:t>
      </w:r>
      <w:r>
        <w:rPr>
          <w:rFonts w:ascii="Times New Roman" w:hAnsi="Times New Roman"/>
          <w:i/>
          <w:color w:val="000000"/>
          <w:sz w:val="20"/>
        </w:rPr>
        <w:t xml:space="preserve">Financial Instruments—Credit Losses, </w:t>
      </w:r>
      <w:r>
        <w:rPr>
          <w:rFonts w:ascii="Times New Roman" w:hAnsi="Times New Roman"/>
          <w:color w:val="000000"/>
          <w:sz w:val="20"/>
        </w:rPr>
        <w:t xml:space="preserve">to account for its ACL on loans in accordance with CECL methodology. The ACL on loans and unfunded commitments is a valuation allowance for management’s estimate of expected credit losses in the loan portfolio and commitments to extend credit.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DCF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June 30, 2026, the Bank had 117 individually evaluated loans totaling $78.6 million. Each of these loans was evaluated using a collateral-dependent methodology. No individually evaluated loans were measured using the present value of expected future cash flows or another methodology permitted under ASC 326. For all other loans, the Company applies a collective evaluation methodology designed to estimate lifetime expected credit losses for pools of loans that share similar risk characteristics.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utilizes the DCF method for its pooled segment calculation. The DCF method implements a probability of default and loss given default and loss exposure at default estimation. The probability of default and loss given default are applied to future cash flows that are adjusted to present value and these discounted expected losses become the ACL.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Management also considers Qualitative Factors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 xml:space="preserve">and procedures, quality of credit review function and administration, and changes in regulatory environment, management, markets and product offerings. On a quarterly basis, the Company assesses the magnitude of QF adjustments necessary to be applied to the quantitatively-derived ACL in order to incorporate forward-looking projections in its final evaluation of current expected credit losses.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estimating the ACL on loans, management considers the sensitivity of the model and significant judgments and assumptions that could result in an amount that is materially different from management’s estimate. At June 30, 2026, the Bank held $544.6 million in commercial real estate and commercial &amp; industrial loans (collectively, commercial loans) representing 61.3% of the Bank’s entire loan portfolio. The Bank allocated $21.5 million of the ACL to these commercial loans, which included a net qualitative adjustment that reduced the ACL by approximately $899,000 in the first half of 2026.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$225,000,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June 30, 2026 in the final recorded estimation of the ACL on loans recognized on the Statements of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 typically differs from the 21% federal statutory tax rate due primarily to New York State income taxes, partially offset by tax-exempt income from specific types of investment securities and loans, BOLI, and to a much lesser degree, the utilization of low income housing tax credits. In addition, the tax effects of certain incentive stock option activity may reduce the Company’s effective tax rate on a sporadic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a noncontributory defined benefit pension plan covering a portion of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the fair value of a security categorized as AFS or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NRSRO, and (4) the presence of contractual credit enhancements, if any, including the guarantee of the federal government or any of its agencies.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carries all of its AFS investments at fair value with any unrealized gains or losses reported, net of tax, as an adjustment to shareholders' equity and included in AOCI,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performs an annual evaluation of our goodwill for possible impairment. Based on the December 31, 2025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Recent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29, 2026, the Company announced that its Board of Directors declared a cash dividend of $0.10 per share on the Company's voting common and non-voting common stock relating to the fiscal quarter ended June 30, 2026. The dividends were payable to all shareholders of record on July 17, 2026 and were paid on August 7, 2026.</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Summary of 2026 Second Quarter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net income of $2.7 million, or $0.42 per diluted share, for the three months ended June 30, 2026, compared to $31,000, or less than $0.01 per diluted share, for the three months ended June 30, 2025. The increase in net income was primarily attributable to the absence of a $3.1 million pre-tax LOCOM adjustment recorded in the second quarter of 2025 related to the July 2025 sale of $9.3 million of nonperforming and classified loans associated with one local commercial relationship. The adjustment reduced second quarter 2025 earnings by $2.5 million after tax, or $0.40 per diluted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before PCL decreased $278,000, or 2.6%, to $10.5 million for the three months ended June 30, 2026, as compared to the same period in 2025. This decrease was primarily the result of a decrease in interest and dividend income of $1.1 million, partially offset by a decrease in interest expense of $836,000.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and dividend income declined $1.1 million to $18.1 million for the second quarter of 2026, as compared to the second quarter of 2025. This decrease was primarily driven by a $21.9 million decline in average interest-earning asset balances and an average yield decrease of 24 bps on all interest-earning assets. Average loan yields declined 16 bps due primarily to maturities and payoffs of higher-yielding loans and elevated nonperforming loan balances for which specific reserves were established as appropriate prior to the second quarter of 2026, while the average yield on taxable securities decreased 33 bps, reflecting lower average balances and a declining rate environment. Compared to the year-ago quarter, decreases in loan interest income, taxable securities income, and tax-exempt securities income of $536,000, $602,000, and $97,000, respectively, were partially offset by higher dividend income and income from federal funds sold and interest-earning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decreased $836,000 to $7.5 million during the second quarter of 2026 compared to the prior-year quarter. The decrease was primarily attributable to a 22 bps decline in the average cost of total interest-bearing liabilities, including a 33 bps reduction in the average cost of interest-bearing deposits. These favorable changes were partially offset by a 7 bps increase in the average cost of borrowings, as well as a 218 bps increase in the average cost of subordinated debt that reset from fixed-rate to floating-rate interest after October 15,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NIM was 3.08% for the three months ended June 30, 2026, compared to 3.11% in the year-ago period. The decrease of 3 bps primarily reflected lower earning asset yields that more than offset the reduction in the cost of interest-bearing deposits and other liabilities.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PCL was a benefit of $155,000 in the second quarter of 2026, attributed to the level of average loans outstanding in the period and the risk-based reserve build undertaken in the second half of 2025 to absorb future loss resolution activity related to commercial IALs, resulting in a modest reserve release during the period. Provision expense was $1.2 million in the year-ago quarter. See the “Provision for Credit Losses” and “Loan and Asset Quality and Allowance for Credit Losses” sections of this Management’s Discussion and Analysis for further discussion.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was $1.2 million for the second quarter of 2026, compared to negative $1.5 million in the same period of 2025. The year-over-year increase primarily reflected the absence of the $3.1 million LOCOM adjustment on loans held for sale recognized during the second quarter of 2025.</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Compared to the prior-year quarter, noninterest income for the second quarter of 2026 reflected increases of $174,000 in earnings and gains on BOLI, $12,000 in gains on sales of loans and foreclosed real estate, and modest increases in debit card interchange fees and service charges on deposit accounts. These increases were partially offset by a $29,000 decrease in loan servicing fees. Net unrealized gains on marketable equity securities, which include three limited partnership equity method investments, decreased $473,000 from the year-ago quarter, remaining a variable contributor to noninterest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expense totaled $8.7 million in the second quarter of 2026, increasing $601,000, or 7.5%, from $8.1 million in the second quarter of 2025. Salaries and benefits expense increased compared to the year-ago quarter, reflecting higher staffing levels and increased compensation-related costs, partially offset by favorable non-operating items, including recoveries from medical claim refunds under the Company's self-insured health plan. The increase was also driven by higher building and occupancy, data processing, and other operating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expenses increased primarily due to higher employee travel, training, and professional development costs, as well as higher mortgage recording tax, liability insurance, and business development expenses. Year-over-year comparisons also reflect FDIC assessments, which were zero in the second quarter of 2025, due to modest over-accruals in prior periods. Normalized FDIC assessment accruals have been recorded since June 30, 2025, including $232,000 in the second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second quarter of 2026, annualized noninterest expense represented 2.39% of average assets, compared to 2.18% in the year-ago period. The efficiency ratio was 74.26% for the second quarter of 2026, compared to 65.66% in the year-ago period. As the Company continues to maintain well-controlled noninterest expenses, the efficiency ratio was elevated during the second quarter of 2026 due to reduced revenues, which the Company views as temporary. In addition, the absence of FDIC assessment expense in the second quarter of 2025, due to modest over-accruals in prior periods, contributed to a lower efficiency ratio in the year-ago quarter. The efficiency ratio, which is not a financial metric under GAAP, is a measure that the Company believes is helpful to understanding its level of noninterest expense as a percentage of total revenue.</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r>
        <w:rPr>
          <w:rFonts w:ascii="Times New Roman" w:hAnsi="Times New Roman"/>
          <w:b/>
          <w:color w:val="000000"/>
          <w:sz w:val="22"/>
        </w:rPr>
        <w:t>Results of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NIM result from the interaction between the volume and composition of interest-earning assets, interest-bearing liabilities, related yields, and associated funding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information concerning average interest-earning assets and interest-bearing liabilities and the average yields and rates thereon for the periods indicated. Interest income and resultant yield information in the table has not been adjusted for tax equivalency. Averages are computed on the daily average balance for each month in the period divided by the number of days in the period. Nonaccrual loans have been included in interest-earning assets for purposes of these calculations.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0"/>
        <w:gridCol w:w="346"/>
        <w:gridCol w:w="196"/>
        <w:gridCol w:w="826"/>
        <w:gridCol w:w="166"/>
        <w:gridCol w:w="146"/>
        <w:gridCol w:w="196"/>
        <w:gridCol w:w="601"/>
        <w:gridCol w:w="146"/>
        <w:gridCol w:w="146"/>
        <w:gridCol w:w="180"/>
        <w:gridCol w:w="743"/>
        <w:gridCol w:w="241"/>
        <w:gridCol w:w="146"/>
        <w:gridCol w:w="196"/>
        <w:gridCol w:w="826"/>
        <w:gridCol w:w="166"/>
        <w:gridCol w:w="146"/>
        <w:gridCol w:w="196"/>
        <w:gridCol w:w="601"/>
        <w:gridCol w:w="146"/>
        <w:gridCol w:w="146"/>
        <w:gridCol w:w="180"/>
        <w:gridCol w:w="743"/>
        <w:gridCol w:w="490"/>
      </w:tblGrid>
      <w:tr>
        <w:trPr/>
        <w:tc>
          <w:tcPr>
            <w:tcW w:w="22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 June 30,</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Yield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Yield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Cost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Interest-earning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899,975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5.75</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Taxable investment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Tax-exempt investment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Federal funds sold and interest-earning deposits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interest-earning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1,390,753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Noninterest-earning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Allowance for credit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losses</w:t>
              <w:br/>
              <w:t>   on available-for-sale securities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assets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1,452,719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Interest-bearing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NOW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Money management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0.12</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MMDA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Savings and club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Time deposits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Subordinated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Borrowings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interest-bearing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1,101,650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1,134,405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Noninterest-bearing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Demand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liabilities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1,327,989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1,355,628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Shareholders' equity</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liabilities &amp; shareholders' equity</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1,452,719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rate spread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margin</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Ratio of average interest-earning assets</w:t>
              <w:br/>
              <w:t>   to average interest-bearing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122.60</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90"/>
        <w:gridCol w:w="346"/>
        <w:gridCol w:w="196"/>
        <w:gridCol w:w="826"/>
        <w:gridCol w:w="166"/>
        <w:gridCol w:w="146"/>
        <w:gridCol w:w="196"/>
        <w:gridCol w:w="601"/>
        <w:gridCol w:w="146"/>
        <w:gridCol w:w="146"/>
        <w:gridCol w:w="180"/>
        <w:gridCol w:w="743"/>
        <w:gridCol w:w="241"/>
        <w:gridCol w:w="146"/>
        <w:gridCol w:w="196"/>
        <w:gridCol w:w="826"/>
        <w:gridCol w:w="166"/>
        <w:gridCol w:w="146"/>
        <w:gridCol w:w="196"/>
        <w:gridCol w:w="601"/>
        <w:gridCol w:w="146"/>
        <w:gridCol w:w="146"/>
        <w:gridCol w:w="180"/>
        <w:gridCol w:w="743"/>
        <w:gridCol w:w="490"/>
      </w:tblGrid>
      <w:tr>
        <w:trPr/>
        <w:tc>
          <w:tcPr>
            <w:tcW w:w="22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 June 30,</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Yield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Average Yield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Cost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Interest-earning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Taxable investment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Tax-exempt investment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Federal funds sold and interest-earning deposits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interest-earning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1,385,390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5.58</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Noninterest-earning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Allowance for credit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unrealized losses</w:t>
              <w:br/>
              <w:t>   on available-for-sale securities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assets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Interest-bearing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NOW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Money management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MMDA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Savings and club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Time deposits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Subordinated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6.36</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Borrowings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interest-bearing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Noninterest-bearing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Demand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liabilities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1,311,817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1,349,872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Shareholders' equity</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liabilities &amp; shareholders' equity</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rate spread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interest margin</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Ratio of average interest-earning assets</w:t>
              <w:br/>
              <w:t>   to average interest-bearing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124.48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123.56</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before PCL was $10.5 million for the second quarter of 2026, down $278,000, or 2.6%, from $10.8 million in the second quarter of 2025. NIM was 3.08% for the three months ended June 30, 2026, decreasing 3 bps from the year-ago quarter. The decrease of 3 bps primarily reflects lower earning asset yields that more than offset the reduction in the cost of interest-bearing deposits and other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and dividend income decreased $1.1 million to $18.1 million from $19.2 million for the three months ended June 30, 2026 and 2025, respectively. The decrease in total interest income was primarily attributed to a $21.9 million decline in average earning asset balances and an average yield decrease of 24 bps on all interest-earning assets. Average loan yields decreased 16 bps from the year-ago period, driven by maturities and payoffs of higher-yielding loans and elevated nonperforming loans. A 33 bps decrease in taxable securities average yield reflected lower average taxable securities balances and a declining rate environment. Total average interest-earning assets declined $21.9 million to $1.37 billion for the second quarter of 2026, compared to $1.39 billion one year ago. The decrease from the second quarter of 2025 was driven by lower average balances of loans, taxable securities, and tax-exempt securities, which declined $11.4 million, $14.8 million, and $1.2 million, respectively, partially offset by a $5.5 million increase in average balances of federal funds sold and interest-earning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expense decreased $836,000 to $7.5 million from $8.4 million for the three months ended June 30, 2026 and 2025, respectively. The decrease was primarily attributed to a 22 bps decline in the average cost of total interest-bearing liabilities, which included a reduction of 33 bps in the average cost of interest-bearing deposits. This was partially offset by an increase of 7 bps in the average cost of borrowings, as well as 218 bps in the average cost of subordinated debt that reset from fixed-rate to floating-rate after October 15, 2025. Total average interest-bearing liabilities decreased $32.8 million from the same period one year ago. This decrease was driven by lower average balances of time deposits, savings deposits, and money market accounts, which declined $71.4 million, $3.1 million, and $1.8 million, respectively, partially offset by increases in average MMDA deposits, NOW deposits, and borrowings of $20.9 million, $9.2 million, and $13.4 million, respectively.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before PCL was $20.9 million for the six months ended June 30, 2026, down $1.3 million, or 6.1%, when compared to the same six-month period of 2025. NIM was 3.09%, a decrease of 12 bps from 3.21%, for the six months ended June 30, 2026 and 2025, respectively. The decrease of 12 bps primarily reflects lower earning asset yields that more than offset the reduction in the cost of interest-bearing deposits and other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and dividend income decreased $3.1 million to $35.6 million from $38.6 million for the six months ended June 30, 2026 and 2025, respectively. The decrease in total interest income was primarily attributed to a $33.9 million decline in average interest-earning asset balances and an average yield decrease of 32 bps on all interest-earning assets. Average loan yields decreased 33 bps when compared to the same period last year, driven by maturities and payoffs of higher-yielding loans and elevated nonperforming loans for which specific reserves were established as appropriate prior to the second quarter of 2026. A 24 bps decrease in taxable securities average yield reflected a decline in average taxable securities balances and a declining rate environment. Total average interest-earning assets decreased $33.9 million to $1.35 billion for the six months ended June 30, 2026, compared to $1.39 billion for the same period in 2025. The decrease was driven by lower average balances of taxable investment securities, loans, and tax-exempt investment securities, which declined $27.0 million, $12.6 million, and $1.1 million, respectively, partially offset by a $6.8 million increase in average federal funds sold and interest-earning deposits.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expense decreased $1.7 million to $14.7 million from $16.4 million for the six months ended June 30, 2026 and 2025, respectively. The decrease was primarily attributed to a 21 bps decline in the average cost of total interest-bearing liabilities, which included a reduction of 31 bps in the average cost of interest-bearing deposits. This was partially offset by an increase of 19 bps in the average cost of borrowings, as well as 224 bps in the average cost of subordinated debt that reset from fixed-rate to floating-rate after October 15, 2025. Total average interest-bearing liabilities decreased $35.5 million for the six months ended June 30, 2026, compared to the same period in 2025. The decrease was driven by lower average balances of time deposits, borrowings, savings deposits, and money market accounts of $64.5 million, $8.5 million, $3.8 million, and $1.8 million, respectively, partially offset by increases in average MMDA deposits and NOW deposits of $31.6 million and $11.5 million, respectively.</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49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Rate/Volume Analysis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pStyle w:val="TextBody"/>
        <w:bidi w:val="0"/>
        <w:jc w:val="both"/>
        <w:rPr/>
      </w:pPr>
      <w:r>
        <w:rPr/>
        <w:t> </w:t>
      </w:r>
    </w:p>
    <w:tbl>
      <w:tblPr>
        <w:tblW w:w="9415" w:type="dxa"/>
        <w:jc w:val="left"/>
        <w:tblInd w:w="0" w:type="dxa"/>
        <w:tblLayout w:type="fixed"/>
        <w:tblCellMar>
          <w:top w:w="28" w:type="dxa"/>
          <w:left w:w="28" w:type="dxa"/>
          <w:bottom w:w="28" w:type="dxa"/>
          <w:right w:w="28" w:type="dxa"/>
        </w:tblCellMar>
      </w:tblPr>
      <w:tblGrid>
        <w:gridCol w:w="2531"/>
        <w:gridCol w:w="346"/>
        <w:gridCol w:w="204"/>
        <w:gridCol w:w="457"/>
        <w:gridCol w:w="166"/>
        <w:gridCol w:w="146"/>
        <w:gridCol w:w="196"/>
        <w:gridCol w:w="436"/>
        <w:gridCol w:w="166"/>
        <w:gridCol w:w="146"/>
        <w:gridCol w:w="222"/>
        <w:gridCol w:w="648"/>
        <w:gridCol w:w="166"/>
        <w:gridCol w:w="146"/>
        <w:gridCol w:w="196"/>
        <w:gridCol w:w="571"/>
        <w:gridCol w:w="166"/>
        <w:gridCol w:w="146"/>
        <w:gridCol w:w="196"/>
        <w:gridCol w:w="571"/>
        <w:gridCol w:w="166"/>
        <w:gridCol w:w="146"/>
        <w:gridCol w:w="222"/>
        <w:gridCol w:w="648"/>
        <w:gridCol w:w="411"/>
      </w:tblGrid>
      <w:tr>
        <w:trPr/>
        <w:tc>
          <w:tcPr>
            <w:tcW w:w="2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 vs.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 vs.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Increase/(Decrease) Due to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Increase/(Decrease) Due to</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Taxable investment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Tax-exempt investment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Interest-earning deposits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 income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NOW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Money management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MMDA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Savings and club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Time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Subordinated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Borrowings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 expense</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change in net interest income</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deposit base is primarily drawn from eleven full-service branches and one motor bank in its market area. The deposit base consists of demand deposits, money management and money market deposit accounts, savings, and time deposits. Total deposits decreased by $9.6 million, or 0.8% from December 31, 2025. The decrease in deposits during the six months ended June 30, 2026, reflects intentional runoff of higher-cost brokered deposits and non-relationship time deposits, partially offset by growth in MMDA deposits and both interest- and noninterest-bearing demand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81.9% of the Company's deposit base of $1.17 billion consisted of core deposits. Core deposits, which exclude brokered deposits and certificates of deposit of $250,000 or more, are considered to be more stable and generally provide the Company with a lower cost of funds than time deposits of $250,000 or more. The Company will continue to emphasize retail and business core deposits in the future by providing depositors with a full range of deposit product offerings and will maintain its recent focus on deposit gathering within the Syracuse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deposits by category at June 30, 2026 and December 31, 2025 is as follows:</w:t>
      </w:r>
    </w:p>
    <w:p>
      <w:pPr>
        <w:pStyle w:val="TextBody"/>
        <w:bidi w:val="0"/>
        <w:spacing w:before="0" w:after="120"/>
        <w:jc w:val="both"/>
        <w:rPr/>
      </w:pPr>
      <w:r>
        <w:rPr/>
        <w:t> </w:t>
      </w:r>
    </w:p>
    <w:tbl>
      <w:tblPr>
        <w:tblW w:w="6055" w:type="dxa"/>
        <w:jc w:val="left"/>
        <w:tblInd w:w="0" w:type="dxa"/>
        <w:tblLayout w:type="fixed"/>
        <w:tblCellMar>
          <w:top w:w="28" w:type="dxa"/>
          <w:left w:w="28" w:type="dxa"/>
          <w:bottom w:w="28" w:type="dxa"/>
          <w:right w:w="28" w:type="dxa"/>
        </w:tblCellMar>
      </w:tblPr>
      <w:tblGrid>
        <w:gridCol w:w="2701"/>
        <w:gridCol w:w="146"/>
        <w:gridCol w:w="215"/>
        <w:gridCol w:w="910"/>
        <w:gridCol w:w="146"/>
        <w:gridCol w:w="146"/>
        <w:gridCol w:w="287"/>
        <w:gridCol w:w="1213"/>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Savings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317,201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accounts in excess of $250,000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Money management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MMDA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285,564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Demand deposit 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110,702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Demand deposit 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Mortgage escrow funds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Deposits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1,183,848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to deposits obtained from its business operations within its target market areas, the Bank also obtains brokered deposits through various programs administered by IntraFi Network and through other unaffiliated third-party financial institutions.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our nonbrokered and brokered deposit activities at the dates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48"/>
        <w:gridCol w:w="146"/>
        <w:gridCol w:w="204"/>
        <w:gridCol w:w="862"/>
        <w:gridCol w:w="146"/>
        <w:gridCol w:w="146"/>
        <w:gridCol w:w="196"/>
        <w:gridCol w:w="601"/>
        <w:gridCol w:w="146"/>
        <w:gridCol w:w="146"/>
        <w:gridCol w:w="196"/>
        <w:gridCol w:w="826"/>
        <w:gridCol w:w="146"/>
        <w:gridCol w:w="146"/>
        <w:gridCol w:w="204"/>
        <w:gridCol w:w="862"/>
        <w:gridCol w:w="146"/>
        <w:gridCol w:w="146"/>
        <w:gridCol w:w="196"/>
        <w:gridCol w:w="691"/>
        <w:gridCol w:w="146"/>
        <w:gridCol w:w="146"/>
        <w:gridCol w:w="196"/>
        <w:gridCol w:w="826"/>
        <w:gridCol w:w="291"/>
      </w:tblGrid>
      <w:tr>
        <w:trPr/>
        <w:tc>
          <w:tcPr>
            <w:tcW w:w="2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Nonbrokered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Brokered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Nonbrokered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Brokered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Savings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317,201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accounts of $250,000 or more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Money management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MMDA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285,564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Demand deposit 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110,702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Demand deposit 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Mortgage escrow funds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4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Deposits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1,183,848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Provision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establish a PCL, which is charged to operations, at a level management believes is appropriate to absorb lifetime credit losses in the loan portfolio. In evaluating the level of the ACL,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PCL represents management’s estimate of the amount necessary to maintain the ACL at an adequate level.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PCL was a benefit of $155,000 for the three month period ended June 30, 2026, as compared to a $1.2 million PCL expense for the three month period ended June 30, 2025. The provisioning in the second quarter of 2026 and 2025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and changes in the levels of delinquent and nonaccrual loans. The $1.4 million decrease in PCL for the second quarter of 2026, as compared to the same period in 2025, was primarily attributed to the level of average loans outstanding in the period and the risk-based reserve build undertaken in the second half of 2025 to absorb future loss resolution activity associated with commercial IALs, and continued improvement in asset quality metrics.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ACL.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measures delinquency based on the amount of past due loans (defined as loans equal to or greater than 30 days past due) as a percentage of total loans. The ratio of delinquent loans to total loans was 4.8% and 5.9% at June 30, 2026, and December 31, 2025, respectively. Delinquent loans (numerator) decreased $10.1 million from December 31, 2025 to June 30, 2026. Total loan balances (denominator) decreased $8.2 million from December 31, 2025 to June 30, 2026. The decrease in delinquent loans from December 31, 2025 to June 30, 2026 was driven by loans delinquent 30-59 days and loans delinquent 60-89 days, which decreased by $8.6 million and $9.7 million, respectively, partially offset by an increase of $8.2 million in loans delinquent 90 days and over.</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Noninterest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noninterest income is primarily comprised of fees on deposit account balances and transactions, loan servicing, commissions, and net gains on sales of securities, loans, and foreclosed real estate.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on noninterest income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29"/>
        <w:gridCol w:w="146"/>
        <w:gridCol w:w="214"/>
        <w:gridCol w:w="559"/>
        <w:gridCol w:w="166"/>
        <w:gridCol w:w="146"/>
        <w:gridCol w:w="210"/>
        <w:gridCol w:w="613"/>
        <w:gridCol w:w="166"/>
        <w:gridCol w:w="146"/>
        <w:gridCol w:w="196"/>
        <w:gridCol w:w="511"/>
        <w:gridCol w:w="166"/>
        <w:gridCol w:w="146"/>
        <w:gridCol w:w="146"/>
        <w:gridCol w:w="571"/>
        <w:gridCol w:w="241"/>
        <w:gridCol w:w="146"/>
        <w:gridCol w:w="214"/>
        <w:gridCol w:w="559"/>
        <w:gridCol w:w="166"/>
        <w:gridCol w:w="146"/>
        <w:gridCol w:w="210"/>
        <w:gridCol w:w="613"/>
        <w:gridCol w:w="166"/>
        <w:gridCol w:w="146"/>
        <w:gridCol w:w="196"/>
        <w:gridCol w:w="511"/>
        <w:gridCol w:w="166"/>
        <w:gridCol w:w="146"/>
        <w:gridCol w:w="146"/>
        <w:gridCol w:w="511"/>
        <w:gridCol w:w="291"/>
      </w:tblGrid>
      <w:tr>
        <w:trPr/>
        <w:tc>
          <w:tcPr>
            <w:tcW w:w="1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and gain on 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Loan servicing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Debit card interchange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charges, commissions and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Noninterest income before gains and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Losses on sales and redemptions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Gains on sales of loans and foreclosed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 to loans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(losses) gains on marketable equity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noninterest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income was $1.2 million for the second quarter of 2026, compared to negative $1.5 million in the same period of 2025. The year-over-year increase primarily reflected the absence of the $3.1 million LOCOM adjustment on loans held-for-sale recognized during the second quarter of 2025.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Compared to the year-ago period, second quarter 2026 noninterest income reflected increases of $174,000 in earnings and gains on BOLI, $8,000 in debit card interchange fees, and $1,000 in service charges on deposit accounts. In addition, compared to the year-ago period, second quarter 2026 noninterest income included an increase of $12,000 in gains on sales of loans and foreclosed real estate, as well as a decrease of $29,000 in loan servicing fees. Net unrealized gains on marketable equity securities, which include three limited partnership equity method investments, remained a variable contributor to noninterest income, decreasing $473,000 in the second quarter of 2026 from the year-ago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noninterest income was $2.4 million, compared to negative $321,000 in the same period of 2025. The year-over-year increase primarily reflected the absence of the $3.1 million LOCOM adjustment on loans held-for-sale recognized during the second quarter of 2025, partially offset by a $203,000 fair value adjustment recognized in the first quarter of 2026 on substandard loans transferred to held-for-sale status in the fourth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noninterest income during the first six months of 2026, compared to the same period in 2025, also reflected increases of $268,000 in earnings and gains on BOLI, $146,000 in debit card interchange fees, and $3,000 in service charges on deposit accounts. Noninterest income also included an increase of $133,000 in gains on sales of loans and foreclosed real estate and a $3,000 decrease in losses on sales and redemptions of investment securities, partially offset by a $41,000 decrease in loan servicing fees. Net unrealized gains on marketable equity securities, which include three limited partnership equity method investments, remained a variable contributor to noninterest income, decreasing $615,000 during the first six months of 2026 compared to the same period in 2025.</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Noninterest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on noninterest expense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5"/>
        <w:gridCol w:w="146"/>
        <w:gridCol w:w="238"/>
        <w:gridCol w:w="622"/>
        <w:gridCol w:w="146"/>
        <w:gridCol w:w="146"/>
        <w:gridCol w:w="238"/>
        <w:gridCol w:w="622"/>
        <w:gridCol w:w="146"/>
        <w:gridCol w:w="146"/>
        <w:gridCol w:w="196"/>
        <w:gridCol w:w="436"/>
        <w:gridCol w:w="166"/>
        <w:gridCol w:w="146"/>
        <w:gridCol w:w="146"/>
        <w:gridCol w:w="511"/>
        <w:gridCol w:w="241"/>
        <w:gridCol w:w="146"/>
        <w:gridCol w:w="225"/>
        <w:gridCol w:w="692"/>
        <w:gridCol w:w="146"/>
        <w:gridCol w:w="146"/>
        <w:gridCol w:w="225"/>
        <w:gridCol w:w="692"/>
        <w:gridCol w:w="146"/>
        <w:gridCol w:w="146"/>
        <w:gridCol w:w="196"/>
        <w:gridCol w:w="436"/>
        <w:gridCol w:w="166"/>
        <w:gridCol w:w="146"/>
        <w:gridCol w:w="146"/>
        <w:gridCol w:w="481"/>
        <w:gridCol w:w="293"/>
      </w:tblGrid>
      <w:tr>
        <w:trPr/>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and 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FDIC assessments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Audits and exams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Community service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Foreclosed real estate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noninterest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expense totaled $8.7 million in the second quarter of 2026, increasing $601,000, or 7.5%, from $8.1 million in the second quarter of 2025.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Salaries and benefits expense was $4.7 million in the second quarter of 2026, increasing $128,000 from the year-ago quarter. The Company recorded moderate increases in salaries, stock-based compensation, and payroll taxes compared to both periods, with the year-over-year increase also reflecting higher staffing levels. These increases were offset by the favorable impact of several non-operating items, including recoveries from medical claim refunds under the Company's self-insured health plan in the second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Building and occupancy expense was $1.4 million in the second quarter of 2026, increasing $150,000 from the year-ago quarter. The increases reflected higher facility-related maintenance and repair expenses, including ATM servicing, branch maintenance and various property improvement activities. Data processing expense was $774,000 in the second quarter of 2026, increasing $107,000 from the year-ago period. The increases reflected higher costs primarily associated with data, ATM, and other technology maintenance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expenses were $614,000 in the second quarter of 2026, increasing $104,000 from the year-ago quarter. The increases were primarily attributable to higher employee travel, training, and professional development expenses, as well as higher mortgage recording tax, liability insurance, and business development-related expenses. The year-over-year increase was also influenced by certain favorable accrual and expense reclassification adjustments recognized in the year-ago period. Total noninterest expense comparisons also reflect FDIC assessments, which were zero in the second quarter of 2025, due to modest over-accruals in prior periods. Normalized FDIC assessment accruals have been recorded since June 30, 2025, including $232,000 in the second quarter of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noninterest expense increased $860,000 to $17.4 million from $16.5 million for the same period in 2025. The drivers of the year-to-date increase were consistent with those described for the current quarter, including higher salaries and benefits expense of $535,000, building and occupancy expense of $130,000, and data processing expense of $174,000, partially offset by a $112,000 improvement in other expenses. Comparisons of total noninterest expense also reflected FDIC assessments, which were zero in the second quarter of 2025 due to modest over-accruals in prior periods, resulting in a $207,000 increase when comparing the first six months of 2026 to the same period in 2025.</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0"/>
        </w:rPr>
      </w:pPr>
      <w:r>
        <w:rPr>
          <w:rFonts w:ascii="Times New Roman" w:hAnsi="Times New Roman"/>
          <w:b/>
          <w:color w:val="000000"/>
          <w:sz w:val="20"/>
        </w:rPr>
        <w:t>Income Tax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expense increased to $585,000 for the quarter ended June 30, 2026, as compared to $7,000 for the same three month period in 2025. The increase in income tax expense for the quarter ended June 30, 2026, as compared to the same quarter in 2025, was primarily driven by an increase of $3.2 million in income before taxes. The effective income tax rate decreased 40 bps to 18.0% for the three months ended June 30, 2026 as compared to 18.4% for the same three month period in 2025. The decrease in the tax rate in the second quarter of 2026, as compared to the same quarter in 2025, was primarily related to an increase in income and fluctuations in permanent tax differences.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expense increased $364,000 to $1.1 million for the six months ended June 30, 2026, as compared to $751,000 for the same six month period in 2025. The increase in income tax expense for the six months ended June 30, 2026, as compared to the same six month period in 2025, was primarily driven by an increase of $2.4 million in income before taxes. The effective income tax rate decreased 200 bps to 18.0% for the six months ended June 30, 2026 as compared to 20.0% for the same six month period in 2025. The decrease in the tax rate in the six months ended June 30, 2026, as compared to the same period in 2025, was primarily related to an increase in income and fluctuations in permanent tax differences.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tax liability is a function of the 21% statutory federal tax rate, the level of pretax income, the varying effects of New York State income taxes, and is partially reduced by tax-exempt income from specific types of investment securities and loans, BOLI, and, to a much lesser degree, the utilization of historic and low income housing tax credits. In addition, the tax effects of certain incentive stock option activity may reduce the Company’s effective tax rate on a sporadic basis.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Earnings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and diluted earnings per Voting and Series A Non-Voting share were $0.42 per share for the second quarter of 2026, as compared to less than $0.01 per share for the same prior year period. The increase in EPS primarily reflected higher net income in the second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and diluted earnings per Voting and Series A Non-Voting share were $0.80 per share for the six months ended June 30, 2026. Basic and diluted EPS were $0.48 and $0.47, respectively, for both Voting and Series A Non-Voting shares for the six month period ended June 30, 2025. The increase in EPS primarily reflected higher net income in the first six months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information on EPS can be found in Note 3 of the unaudited consolidated financial statements of this Form 10-Q.</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r>
        <w:rPr>
          <w:rFonts w:ascii="Times New Roman" w:hAnsi="Times New Roman"/>
          <w:b/>
          <w:color w:val="000000"/>
          <w:sz w:val="22"/>
        </w:rPr>
        <w:t>Changes in Financial Condition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assets increased $65.9 million, or 4.6%, to $1.49 billion at June 30, 2026 as compared to December 31, 2025. This increase primarily reflected growth in investment securities, partially offset by reductions in loans and cash and cash equivalents.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investment securities, including investment in FHLB-NY stock, totaled $490.7 million at June 30, 2026, an increase of $74.9 million, or 18.0%, from $415.7 million at December 31, 2025. The increase was primarily attributable to a $89.3 million increase in AFS securities, enabling the Company to generate incremental earnings while preserving the flexibility to use core deposits to fund future growth. In addition, investment securities increased due to an increase of $4.4 million in FHLB-NY stock and a $179,000 increase in marketable equity securities, partially offset by a $19.0 million decrease in HTM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Loans, net of deferred fees, totaled $889.0 million at June 30, 2026, a decrease of $7.7 million, or 0.9%, from December 31, 2025. The decline was primarily driven by maturities, payoffs, and principal runoff of existing loans that exceeded new loan originations, particularly within consumer and residential portfolios, while commercial loan balances remained relatively stable. Consumer and residential loans totaled $345.2 million at June 30, 2026, decreasing $9.1 million, or 2.6%, from December 31, 2025. Commercial loans totaled $544.6 million at June 30, 2026, increasing $910,000, or 0.2%, from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cash and cash equivalents decreased $5.1 million, or 16.4%, to $26.1 million at June 30, 2026, as compared to December 31, 2025. This decrease in cash and cash equivalents was primarily attributable to the deployment of excess liquidity into investment securities during the period.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liabilities increased $62.6 million, or 4.8%, to $1.37 billion at June 30, 2026 as compared to December 31, 2025. This increase was primarily attributable to an increase in total borrowings, partially offset by a decrease in total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borrowings increased $75.3 million, or 129.7%, from $58.1 million at December 31, 2025 to $133.4 million at June 30, 2026. This increase was due to an $81.0 million increase in short-term borrowings from FHLB-NY and FRB-NY, partially offset by a $5.7 million decrease in long-term borrowings from FHLB-NY. Borrowings were utilized in the second quarter of 2026 to fund purchases of AFS securities at rates below those of wholesale funding alternatives, including brokered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deposits decreased $9.6 million, or 0.8%, to $1.17 billion at June 30, 2026 from December 31, 2025, as the Bank utilizes deliberate pricing and account management to facilitate intentional runoff of higher-cost brokered deposits and non-relationship time deposits. The change in deposits from the prior period reflects growth in MMDA deposits and both interest- and noninterest-bearing deposits, offset by decreases in other deposit categories including runoff of higher-cost time deposits.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Shareholders’ Equity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Shareholders' equity increased by $3.3 million, or 2.7%, from $122.5 million at December 31, 2025 to $125.7 million at June 30, 2026. This increase was primarily attributable to the Company’s recorded net income of $5.1 million, a $1.2 million increase in additional paid-in-capital, partially reduced by a decrease of $1.7 million in AOCI, and $1.3 million of declared dividends to shareholders during the six months ended June 30, 2026.</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r>
        <w:rPr>
          <w:rFonts w:ascii="Times New Roman" w:hAnsi="Times New Roman"/>
          <w:b/>
          <w:color w:val="000000"/>
          <w:sz w:val="22"/>
        </w:rPr>
        <w:t>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June 30, 2026, the Bank met the regulatory definition of a “well-capitalized” institution, i.e. a total risk-based capital ratio exceeding 10%, a Tier 1 risk-based capital ratio exceeding 8%, CET1 risk-based capital ratio exceeding 6.5%, and a Tier 1 capital to average assets ratio (known as the "leverage ratio") exceeding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establishing the minimum regulatory capital requirements, the regulations limit capital distributions and certain discretionary bonus payments to management if the institution does not hold a “capital conservation buffer” consisting of 2.5% of CET1 to RWA above the amount necessary to meet its minimum risk-based capital requirements. The buffer is separate from the capital ratios required under PCA standards. In order to avoid these restrictions, the capital conservation buffer effectively increases the minimum levels of the following capital to RWA ratios: (1) Total Capital, (2) Tier 1 Capital and (3) CET1. At June 30, 2026, the Bank exceeded all regulatory required minimum capital ratios, including the capital buffer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Pathfinder Bank’s capital amounts and ratios as of the indicated dates are presented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8"/>
        <w:gridCol w:w="146"/>
        <w:gridCol w:w="196"/>
        <w:gridCol w:w="691"/>
        <w:gridCol w:w="146"/>
        <w:gridCol w:w="146"/>
        <w:gridCol w:w="146"/>
        <w:gridCol w:w="511"/>
        <w:gridCol w:w="241"/>
        <w:gridCol w:w="146"/>
        <w:gridCol w:w="196"/>
        <w:gridCol w:w="601"/>
        <w:gridCol w:w="146"/>
        <w:gridCol w:w="146"/>
        <w:gridCol w:w="146"/>
        <w:gridCol w:w="421"/>
        <w:gridCol w:w="241"/>
        <w:gridCol w:w="146"/>
        <w:gridCol w:w="196"/>
        <w:gridCol w:w="691"/>
        <w:gridCol w:w="146"/>
        <w:gridCol w:w="146"/>
        <w:gridCol w:w="146"/>
        <w:gridCol w:w="511"/>
        <w:gridCol w:w="241"/>
        <w:gridCol w:w="146"/>
        <w:gridCol w:w="196"/>
        <w:gridCol w:w="691"/>
        <w:gridCol w:w="146"/>
        <w:gridCol w:w="146"/>
        <w:gridCol w:w="146"/>
        <w:gridCol w:w="511"/>
        <w:gridCol w:w="386"/>
      </w:tblGrid>
      <w:tr>
        <w:trPr/>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For</w:t>
              <w:br/>
              <w:t>Capital Adequacy</w:t>
              <w:br/>
              <w:t>Purposes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To Be</w:t>
              <w:br/>
              <w:t>"Well-Capitalized"</w:t>
              <w:br/>
              <w:t>Under Prompt</w:t>
              <w:br/>
              <w:t>Corrective Provisions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For</w:t>
              <w:br/>
              <w:t xml:space="preserve">Capital Adequacy </w:t>
              <w:br/>
              <w:t>with Buffer</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Equity Tier 1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Tier 1 Capital (to average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Tier 1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Equity Tier 1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Tier 1 Capital (to average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Non-GAAP Financial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Regulation G, a rule adopted by the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tbl>
      <w:tblPr>
        <w:tblW w:w="7484" w:type="dxa"/>
        <w:jc w:val="left"/>
        <w:tblInd w:w="0" w:type="dxa"/>
        <w:tblLayout w:type="fixed"/>
        <w:tblCellMar>
          <w:top w:w="28" w:type="dxa"/>
          <w:left w:w="28" w:type="dxa"/>
          <w:bottom w:w="28" w:type="dxa"/>
          <w:right w:w="28" w:type="dxa"/>
        </w:tblCellMar>
      </w:tblPr>
      <w:tblGrid>
        <w:gridCol w:w="4096"/>
        <w:gridCol w:w="146"/>
        <w:gridCol w:w="196"/>
        <w:gridCol w:w="826"/>
        <w:gridCol w:w="166"/>
        <w:gridCol w:w="301"/>
        <w:gridCol w:w="146"/>
        <w:gridCol w:w="210"/>
        <w:gridCol w:w="885"/>
        <w:gridCol w:w="166"/>
        <w:gridCol w:w="34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Regulatory Capital Ratios (Bank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equity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Addback: Accumulated 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Allowance for credit losses (subject to regulatory limits)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2 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plus Tier 2 Capital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Risk-weighted assets (denominator)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1,038,944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Capital to risk-weighted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Capital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Risk-weighted assets (denominator)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1,038,944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Capital to risk-weighted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Tier 1 Capital (to average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Capital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average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Intangible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Average adjusted assets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1,439,996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1,423,176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Tier 1 Capital to adjusted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Common Equity Tier 1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Common Equity Tier 1 Capital (numerator)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Risk-weighted assets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1,038,944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Total Common Equity Tier 1 to risk-weighted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20"/>
        <w:gridCol w:w="446"/>
        <w:gridCol w:w="196"/>
        <w:gridCol w:w="601"/>
        <w:gridCol w:w="346"/>
        <w:gridCol w:w="346"/>
        <w:gridCol w:w="346"/>
        <w:gridCol w:w="196"/>
        <w:gridCol w:w="601"/>
        <w:gridCol w:w="346"/>
        <w:gridCol w:w="346"/>
        <w:gridCol w:w="346"/>
        <w:gridCol w:w="196"/>
        <w:gridCol w:w="601"/>
        <w:gridCol w:w="346"/>
        <w:gridCol w:w="346"/>
        <w:gridCol w:w="346"/>
        <w:gridCol w:w="196"/>
        <w:gridCol w:w="601"/>
        <w:gridCol w:w="346"/>
        <w:gridCol w:w="491"/>
      </w:tblGrid>
      <w:tr>
        <w:trPr/>
        <w:tc>
          <w:tcPr>
            <w:tcW w:w="262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(Dollars in thousands)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Revenue, pre-tax, pre-provision net income, and efficiency ratio:</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20,876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noninterest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realized losses on sales and redemptions of investment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Gains on sales of loans and foreclosed real estate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Fair value adjustment to loans held-for-sale </w:t>
            </w:r>
            <w:r>
              <w:rPr>
                <w:rFonts w:ascii="Times New Roman" w:hAnsi="Times New Roman"/>
                <w:color w:val="000000"/>
                <w:sz w:val="11"/>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 xml:space="preserve">Revenue (non-GAAP) </w:t>
            </w:r>
            <w:r>
              <w:rPr>
                <w:rFonts w:ascii="Times New Roman" w:hAnsi="Times New Roman"/>
                <w:color w:val="000000"/>
                <w:sz w:val="11"/>
              </w:rPr>
              <w:t>1</w:t>
            </w:r>
          </w:p>
        </w:tc>
        <w:tc>
          <w:tcPr>
            <w:tcW w:w="4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11,665</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12,277</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23,154</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24,828</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c>
          <w:tcPr>
            <w:tcW w:w="4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26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noninterest expense</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17,354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 xml:space="preserve">Pre-tax, pre-provision net income (non-GAAP) </w:t>
            </w:r>
            <w:r>
              <w:rPr>
                <w:rFonts w:ascii="Times New Roman" w:hAnsi="Times New Roman"/>
                <w:color w:val="000000"/>
                <w:sz w:val="11"/>
              </w:rPr>
              <w:t>2</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2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7"/>
              </w:rPr>
            </w:pPr>
            <w:r>
              <w:rPr>
                <w:rFonts w:ascii="Times New Roman" w:hAnsi="Times New Roman"/>
                <w:color w:val="000000"/>
                <w:sz w:val="17"/>
              </w:rPr>
              <w:t xml:space="preserve">Efficiency ratio (non-GAAP) </w:t>
            </w:r>
            <w:r>
              <w:rPr>
                <w:rFonts w:ascii="Times New Roman" w:hAnsi="Times New Roman"/>
                <w:color w:val="000000"/>
                <w:sz w:val="11"/>
              </w:rPr>
              <w:t>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66.43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t>
            </w:r>
          </w:p>
        </w:tc>
      </w:tr>
    </w:tbl>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Revenue equals net interest income plus total noninterest income less net realized gains or losses on sales and redemptions of investment securities, and sales of loans and foreclosed real estate.</w:t>
      </w:r>
    </w:p>
    <w:p>
      <w:pPr>
        <w:pStyle w:val="TextBody"/>
        <w:bidi w:val="0"/>
        <w:jc w:val="both"/>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Pre-tax, pre-provision net income equals revenue less total noninterest expense.</w:t>
      </w:r>
    </w:p>
    <w:p>
      <w:pPr>
        <w:pStyle w:val="TextBody"/>
        <w:bidi w:val="0"/>
        <w:jc w:val="both"/>
        <w:rPr>
          <w:rFonts w:ascii="Times New Roman" w:hAnsi="Times New Roman"/>
          <w:sz w:val="20"/>
        </w:rPr>
      </w:pP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Efficiency ratio equals noninterest expense divided by revenue.</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r>
        <w:rPr>
          <w:rFonts w:ascii="Times New Roman" w:hAnsi="Times New Roman"/>
          <w:b/>
          <w:color w:val="000000"/>
          <w:sz w:val="22"/>
        </w:rPr>
        <w:t>Loan and Asset Quality and 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represents information concerning the aggregate amount of non-accrual loans at the indicated dates:</w:t>
      </w:r>
    </w:p>
    <w:p>
      <w:pPr>
        <w:pStyle w:val="TextBody"/>
        <w:bidi w:val="0"/>
        <w:jc w:val="both"/>
        <w:rPr/>
      </w:pPr>
      <w:r>
        <w:rPr/>
        <w:t> </w:t>
      </w:r>
    </w:p>
    <w:tbl>
      <w:tblPr>
        <w:tblW w:w="6357" w:type="dxa"/>
        <w:jc w:val="left"/>
        <w:tblInd w:w="0" w:type="dxa"/>
        <w:tblLayout w:type="fixed"/>
        <w:tblCellMar>
          <w:top w:w="28" w:type="dxa"/>
          <w:left w:w="28" w:type="dxa"/>
          <w:bottom w:w="28" w:type="dxa"/>
          <w:right w:w="28" w:type="dxa"/>
        </w:tblCellMar>
      </w:tblPr>
      <w:tblGrid>
        <w:gridCol w:w="3341"/>
        <w:gridCol w:w="346"/>
        <w:gridCol w:w="196"/>
        <w:gridCol w:w="601"/>
        <w:gridCol w:w="241"/>
        <w:gridCol w:w="146"/>
        <w:gridCol w:w="269"/>
        <w:gridCol w:w="826"/>
        <w:gridCol w:w="391"/>
      </w:tblGrid>
      <w:tr>
        <w:trPr/>
        <w:tc>
          <w:tcPr>
            <w:tcW w:w="3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Nonaccrual loans: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Commercial and commercial real estate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Consumer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Residential mortgage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nonaccrual loans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Total nonperforming loans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35,710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Foreclosed real estate</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nonperforming assets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35,847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Nonperforming loans to total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Nonperforming assets to total assets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Nonperforming assets include nonaccrual loans, and FRE.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indicated in the table above, nonperforming assets at June 30 2026 were $35.8 million, and were $8.1 million greater than the $27.7 million reported at December 31, 2025. The increase from December 31, 2025 primarily reflected certain legacy loans associated with two commercial relationships that may have been less than 90 days delinquent but were identified as having unique risk characteristics through the Company’s 2025 portfolio review. Specific reserves for these exposures were established prior to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values for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ACL. Values are derived from appraisals of underlying collateral or DCF analysis. Subsequent to foreclosure, valuations are updated periodically and assets are marked to current fair value, not to exceed the initial cost basis for the FRE property.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ACL on loans represents management’s estimate of the lifetime losses inherent in the loan portfolio as of the date of the statement of condition. The ACL was $26.9 million and $29.4 million at June 30, 2026 and December 31, 2025, respectively. The ratio of the ACL to total loans was 3.03% as of June 30, 2026, as compared to 3.28% at December 31, 2025 and 1.76% at June 30, 2025. The Company’s ACL fully absorbed second quarter 2026 net charge-offs of $1.9 million, with gross charge-offs partially offset by $298,000 in recoveries. The ACL increased by $10.8 million in the fourth quarter of 2025 as part of the previously disclosed risk-based reserve build for potential exposures to commercial credits identified as having unique risk characteristics through the comprehensive portfolio review completed last year. Management performs a quarterly evaluation of the ACL based on quantitative and qualitative factors and has determined that the current level of the ACL is adequate to absorb the losses in the loan portfolio as of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 verifiable historical performance of similar loans issued by the originators, as well as the overall experience and skill of the underwriters and servicing entities involved as counterparties to the Bank in these transactions. The performance of all purchased loan pools is monitored regularly from detailed reports and remittance reconciliations provided at least monthly by the external servicing entities.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projected credit losses related to purchased loan pools are evaluated prior to purchase and the performance of those loans against expectations are analyzed at least monthly. Over the life of the purchased loan pools, the ACL is adjusted, through the PCL, for expected loss experience, over the projected life of the loans. The expected credit loss experience is determined at the time of purchase and is modified, to the extent necessary, during the life of the purchased loan pools. The Bank does not initially increase the ACL on the purchase date of the loan pools.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and December 31, 2025, the Company had $78.6 million and $89.4 million in loans, respectively, which were individually analyzed, having established specific reserves of $16.7 million and $18.1 million, respectively, on these loans. The $10.8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59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million decrease in specifically identified loans between these two dates primarily reflected the payoff of two commercial loan relationships totaling $7.6 million in the first six months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Appraisals are obtained at the time a real estate secured loan is originated. For commercial real estate held as collateral, the property is generally inspected every two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has identified certain loans with potential credit profiles that may result in the borrowers not being able to comply with the current loan repayment terms and which may result in possible future identified loan reporting. Potential problem loans totaled $73.7 million at June 30, 2026, as compared to $77.2 million at December 31, 2025. Of these loans which have been internally classified as special mention, substandard, or doubtful, $68.6 million were individually evaluated for expected credit losses, while the remaining $5.1 million were collectively evaluated at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liquidity has been enhanced by its ability to borrow from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AFS investment securities, the sale of securitized loans, or the sale of whole loans. Such actions could result in higher interest expense and/or losses on the sale of securities or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the first six months of 2026, as reflected in the Consolidated Statement of Cash Flows, the Company reported net cash inflow from operating activities of $2.1 million and net cash outflow of $72.4 million related to investing activities. Net cash outflows from investing activities were primarily attributable to $77.6 million of net investment securities activity and $413,000 related to premises and equipment, partially offset by $5.7 million of net loan activity. The Company reported net cash inflows from financing activities of $65.1 million, primarily due to a $75.3 million increase in net borrowings, partially offset by a $9.6 million decrease in net deposit balances, and an aggregate decrease of $572,000 in net cash from all other financing sources, including dividends paid to common voting and non-voting shareholders and warrant holders of $1.3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monitors liquidity on a continuous basis through a broad range of internal programs and considers effective liquidity management to be one of its primary objectives. At June 30, 2026, deposits totaled $1.17 billion, of which a portion were nominally uninsured, as they were above the insurance limits established by the FDIC on that date. Of the nominally uninsured deposits at June 30, 2026, $82.2 million were insured through a long-standing reciprocal deposit program managed by a third-party entity. In addition, $122.0 million in municipal deposits are fully protected against principal loss through a collateral program whereby high-quality securities are placed with an independent custodian as collateral. At June 30, 2026, estimated uninsured deposits totaled $167.9 million, or 14.3% of total deposits, compared to $161.1 million, or 13.6% of total deposits, that were considered to be uninsured at December 31, 2025.</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The Company has a number of existing credit facilities available to it. At June 30, 2026, total credit available under the existing lines of credit was approximately $284.4 million at FHLB-NY, FRB-NY, and two other correspondent banks. At June 30, 2026, the Company had $133.4 million of the available lines of credit utilized on its existing lines of credit with the remainder of $151.0 million available.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Asset Liability Management Committee of the Company is responsible for implementing the policies and guidelines for the maintenance of prudent levels of liquidity. As of June 30, 2026, management reported to the Board of Directors that the Company is in compliance with its liquidity policy guidelines.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also a party to financial instruments with off-balance sheet risk in the normal course of business to meet the financing needs of its customers. These financial instruments include commitments to extend credit and standby letters of credit. At June 30, 2026, the Company had $213.2 million in outstanding commitments to extend credit and standby letters of credit.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exposure to credit loss in the event of nonperformance related to off-balance sheet arrangements is proportional to the contractual amount of those instruments. Such financial instruments are recorded when they are funded. The Company records an ACL on off-balance sheet credit exposures, unless such commitments are unconditionally cancelable, through the PCL expense. The ACL on off-balance sheet credit exposures as of June 30, 2026 was $637,000 and is included in other liabilities on the Company's consolidated Statements of Condition.</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left"/>
        <w:rPr>
          <w:rFonts w:ascii="Times New Roman" w:hAnsi="Times New Roman"/>
          <w:b/>
          <w:color w:val="000000"/>
          <w:sz w:val="24"/>
        </w:rPr>
      </w:pPr>
      <w:bookmarkStart w:id="12" w:name="item_3_quantitative_qualitative_disclosu"/>
      <w:bookmarkEnd w:id="12"/>
      <w:r>
        <w:rPr>
          <w:rFonts w:ascii="Times New Roman" w:hAnsi="Times New Roman"/>
          <w:b/>
          <w:color w:val="000000"/>
          <w:sz w:val="24"/>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smaller reporting company is not required to provide the information relating to this item.</w:t>
      </w:r>
    </w:p>
    <w:p>
      <w:pPr>
        <w:pStyle w:val="TextBody"/>
        <w:bidi w:val="0"/>
        <w:jc w:val="both"/>
        <w:rPr/>
      </w:pPr>
      <w:r>
        <w:rPr/>
        <w:t> </w:t>
      </w:r>
    </w:p>
    <w:p>
      <w:pPr>
        <w:pStyle w:val="TextBody"/>
        <w:bidi w:val="0"/>
        <w:jc w:val="left"/>
        <w:rPr>
          <w:rFonts w:ascii="Times New Roman" w:hAnsi="Times New Roman"/>
          <w:b/>
          <w:color w:val="000000"/>
          <w:sz w:val="24"/>
        </w:rPr>
      </w:pPr>
      <w:bookmarkStart w:id="13" w:name="item_4_controls_procedures"/>
      <w:bookmarkEnd w:id="13"/>
      <w:r>
        <w:rPr>
          <w:rFonts w:ascii="Times New Roman" w:hAnsi="Times New Roman"/>
          <w:b/>
          <w:color w:val="000000"/>
          <w:sz w:val="24"/>
        </w:rPr>
        <w:t>Item 4.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supervision and with the participation of our CEO and our CFO (the Company’s principal executive officer and principal financial officer), management conducted an evaluation of the effectiveness of the design and operation of our disclosure controls and procedures (as defined in Rule 13a-15(e) and 15d-15(e) under the Exchange Act) as of June 30, 2026.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evaluation of our disclosure controls and procedures as of June 30, 2026, our CEO and CFO concluded that our disclosure controls and procedures were effective as of that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did not make any changes in internal control over financial reporting during the quarter ended June 30, 2026 that materially affected, or are reasonably likely to materially affect, the Company’s internal control over financial reporting.</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b/>
          <w:color w:val="000000"/>
          <w:sz w:val="22"/>
        </w:rPr>
      </w:pPr>
      <w:bookmarkStart w:id="14" w:name="part_ii_or_information"/>
      <w:bookmarkEnd w:id="14"/>
      <w:r>
        <w:rPr>
          <w:rFonts w:ascii="Times New Roman" w:hAnsi="Times New Roman"/>
          <w:b/>
          <w:color w:val="000000"/>
          <w:sz w:val="22"/>
        </w:rPr>
        <w:t>PART II – OTHER INFORMATION</w:t>
      </w:r>
    </w:p>
    <w:p>
      <w:pPr>
        <w:pStyle w:val="TextBody"/>
        <w:bidi w:val="0"/>
        <w:jc w:val="left"/>
        <w:rPr/>
      </w:pPr>
      <w:r>
        <w:rPr/>
        <w:t> </w:t>
      </w:r>
    </w:p>
    <w:p>
      <w:pPr>
        <w:pStyle w:val="TextBody"/>
        <w:bidi w:val="0"/>
        <w:jc w:val="left"/>
        <w:rPr>
          <w:rFonts w:ascii="Times New Roman" w:hAnsi="Times New Roman"/>
          <w:b/>
          <w:color w:val="000000"/>
          <w:sz w:val="22"/>
        </w:rPr>
      </w:pPr>
      <w:bookmarkStart w:id="15" w:name="item_1_legal_proceedings"/>
      <w:bookmarkEnd w:id="15"/>
      <w:r>
        <w:rPr>
          <w:rFonts w:ascii="Times New Roman" w:hAnsi="Times New Roman"/>
          <w:b/>
          <w:color w:val="000000"/>
          <w:sz w:val="22"/>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the Company is not currently a named party in a legal proceeding, the outcome of which would have a material and adverse effect on the financial condition or results of operations of the Company. </w:t>
      </w:r>
    </w:p>
    <w:p>
      <w:pPr>
        <w:pStyle w:val="TextBody"/>
        <w:bidi w:val="0"/>
        <w:jc w:val="both"/>
        <w:rPr/>
      </w:pPr>
      <w:r>
        <w:rPr/>
        <w:t> </w:t>
      </w:r>
    </w:p>
    <w:p>
      <w:pPr>
        <w:pStyle w:val="TextBody"/>
        <w:bidi w:val="0"/>
        <w:jc w:val="left"/>
        <w:rPr>
          <w:rFonts w:ascii="Times New Roman" w:hAnsi="Times New Roman"/>
          <w:b/>
          <w:color w:val="000000"/>
          <w:sz w:val="22"/>
        </w:rPr>
      </w:pPr>
      <w:bookmarkStart w:id="16" w:name="item_1a_risk_factors"/>
      <w:bookmarkEnd w:id="16"/>
      <w:r>
        <w:rPr>
          <w:rFonts w:ascii="Times New Roman" w:hAnsi="Times New Roman"/>
          <w:b/>
          <w:color w:val="000000"/>
          <w:sz w:val="22"/>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smaller reporting company is not required to provide the information relating to this item.</w:t>
      </w:r>
    </w:p>
    <w:p>
      <w:pPr>
        <w:pStyle w:val="TextBody"/>
        <w:bidi w:val="0"/>
        <w:jc w:val="both"/>
        <w:rPr/>
      </w:pPr>
      <w:r>
        <w:rPr/>
        <w:t> </w:t>
      </w:r>
    </w:p>
    <w:p>
      <w:pPr>
        <w:pStyle w:val="TextBody"/>
        <w:bidi w:val="0"/>
        <w:jc w:val="left"/>
        <w:rPr>
          <w:rFonts w:ascii="Times New Roman" w:hAnsi="Times New Roman"/>
          <w:b/>
          <w:color w:val="000000"/>
          <w:sz w:val="22"/>
        </w:rPr>
      </w:pPr>
      <w:bookmarkStart w:id="17" w:name="item_2_unregistered_sales_equity_securit"/>
      <w:bookmarkEnd w:id="17"/>
      <w:r>
        <w:rPr>
          <w:rFonts w:ascii="Times New Roman" w:hAnsi="Times New Roman"/>
          <w:b/>
          <w:color w:val="000000"/>
          <w:sz w:val="22"/>
        </w:rPr>
        <w:t>Item 2. Unregistered Sales of Equity Securities, and Use of Proceeds, and Issuer Purchases of Equity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3"/>
        <w:gridCol w:w="146"/>
        <w:gridCol w:w="803"/>
        <w:gridCol w:w="915"/>
        <w:gridCol w:w="146"/>
        <w:gridCol w:w="146"/>
        <w:gridCol w:w="563"/>
        <w:gridCol w:w="477"/>
        <w:gridCol w:w="146"/>
        <w:gridCol w:w="146"/>
        <w:gridCol w:w="561"/>
        <w:gridCol w:w="640"/>
        <w:gridCol w:w="146"/>
        <w:gridCol w:w="146"/>
        <w:gridCol w:w="655"/>
        <w:gridCol w:w="2710"/>
        <w:gridCol w:w="196"/>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7"/>
              </w:rPr>
            </w:pPr>
            <w:r>
              <w:rPr>
                <w:rFonts w:ascii="Times New Roman" w:hAnsi="Times New Roman"/>
                <w:color w:val="000000"/>
                <w:sz w:val="17"/>
              </w:rPr>
              <w:t xml:space="preserve">Total Number of Shares Purchased </w:t>
            </w:r>
            <w:r>
              <w:rPr>
                <w:rFonts w:ascii="Times New Roman" w:hAnsi="Times New Roman"/>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 Number of</w:t>
              <w:br/>
              <w:t>Shares Purchased as</w:t>
              <w:br/>
              <w:t>Part of Publicly</w:t>
              <w:br/>
              <w:t>Announced 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Maximum Number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May 1, 2026 through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29, 2016, our Board of Directors authorized the repurchase of up to 217,692 shares of our common stock, or 5% of the Company’s shares outstanding as of that date.</w:t>
      </w:r>
    </w:p>
    <w:p>
      <w:pPr>
        <w:pStyle w:val="TextBody"/>
        <w:bidi w:val="0"/>
        <w:jc w:val="both"/>
        <w:rPr/>
      </w:pPr>
      <w:r>
        <w:rPr/>
        <w:t> </w:t>
      </w:r>
    </w:p>
    <w:p>
      <w:pPr>
        <w:pStyle w:val="TextBody"/>
        <w:bidi w:val="0"/>
        <w:jc w:val="left"/>
        <w:rPr>
          <w:rFonts w:ascii="Times New Roman" w:hAnsi="Times New Roman"/>
          <w:b/>
          <w:color w:val="000000"/>
          <w:sz w:val="22"/>
        </w:rPr>
      </w:pPr>
      <w:bookmarkStart w:id="18" w:name="item_3_defaults_upon_senior_securities"/>
      <w:bookmarkEnd w:id="18"/>
      <w:r>
        <w:rPr>
          <w:rFonts w:ascii="Times New Roman" w:hAnsi="Times New Roman"/>
          <w:b/>
          <w:color w:val="000000"/>
          <w:sz w:val="22"/>
        </w:rPr>
        <w:t>Item 3. Defaults Upon 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left"/>
        <w:rPr>
          <w:rFonts w:ascii="Times New Roman" w:hAnsi="Times New Roman"/>
          <w:b/>
          <w:color w:val="000000"/>
          <w:sz w:val="22"/>
        </w:rPr>
      </w:pPr>
      <w:bookmarkStart w:id="19" w:name="item_4_mine_safety_disclosures"/>
      <w:bookmarkEnd w:id="19"/>
      <w:r>
        <w:rPr>
          <w:rFonts w:ascii="Times New Roman" w:hAnsi="Times New Roman"/>
          <w:b/>
          <w:color w:val="000000"/>
          <w:sz w:val="22"/>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left"/>
        <w:rPr>
          <w:rFonts w:ascii="Times New Roman" w:hAnsi="Times New Roman"/>
          <w:b/>
          <w:color w:val="000000"/>
          <w:sz w:val="22"/>
        </w:rPr>
      </w:pPr>
      <w:bookmarkStart w:id="20" w:name="item_5_or_information"/>
      <w:bookmarkEnd w:id="20"/>
      <w:r>
        <w:rPr>
          <w:rFonts w:ascii="Times New Roman" w:hAnsi="Times New Roman"/>
          <w:b/>
          <w:color w:val="000000"/>
          <w:sz w:val="22"/>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second quarter of 2026,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pathfinder_bancorp_inc">
        <w:r>
          <w:rPr>
            <w:rStyle w:val="InternetLink"/>
            <w:rFonts w:ascii="Times New Roman" w:hAnsi="Times New Roman"/>
            <w:i/>
            <w:color w:val="0000FF"/>
            <w:sz w:val="16"/>
            <w:u w:val="single"/>
          </w:rPr>
          <w:t>Table of Contents</w:t>
        </w:r>
      </w:hyperlink>
    </w:p>
    <w:p>
      <w:pPr>
        <w:pStyle w:val="TextBody"/>
        <w:bidi w:val="0"/>
        <w:jc w:val="both"/>
        <w:rPr>
          <w:rFonts w:ascii="Times New Roman" w:hAnsi="Times New Roman"/>
          <w:sz w:val="20"/>
        </w:rPr>
      </w:pPr>
      <w:bookmarkStart w:id="21" w:name="item_6_exhibits"/>
      <w:bookmarkEnd w:id="21"/>
      <w:r>
        <w:rPr>
          <w:rFonts w:ascii="Times New Roman" w:hAnsi="Times New Roman"/>
          <w:b/>
          <w:color w:val="000000"/>
          <w:sz w:val="22"/>
        </w:rPr>
        <w:t>Item 6. Exhibits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28"/>
        <w:gridCol w:w="8677"/>
      </w:tblGrid>
      <w:tr>
        <w:trPr/>
        <w:tc>
          <w:tcPr>
            <w:tcW w:w="1528" w:type="dxa"/>
            <w:tcBorders/>
            <w:vAlign w:val="center"/>
          </w:tcPr>
          <w:p>
            <w:pPr>
              <w:pStyle w:val="TableContents"/>
              <w:bidi w:val="0"/>
              <w:spacing w:before="0" w:after="283"/>
              <w:jc w:val="left"/>
              <w:rPr>
                <w:sz w:val="4"/>
                <w:szCs w:val="4"/>
              </w:rPr>
            </w:pPr>
            <w:r>
              <w:rPr>
                <w:sz w:val="4"/>
                <w:szCs w:val="4"/>
              </w:rPr>
            </w:r>
          </w:p>
        </w:tc>
        <w:tc>
          <w:tcPr>
            <w:tcW w:w="8677"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28"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b/>
                <w:color w:val="000000"/>
                <w:sz w:val="20"/>
                <w:u w:val="single"/>
              </w:rPr>
            </w:pPr>
            <w:r>
              <w:rPr>
                <w:rFonts w:ascii="Times New Roman" w:hAnsi="Times New Roman"/>
                <w:b/>
                <w:color w:val="000000"/>
                <w:sz w:val="20"/>
                <w:u w:val="single"/>
              </w:rPr>
              <w:t>Exhibit No.</w:t>
            </w:r>
          </w:p>
        </w:tc>
        <w:tc>
          <w:tcPr>
            <w:tcW w:w="8677"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528" w:type="dxa"/>
            <w:tcBorders>
              <w:bottom w:val="single" w:sz="2" w:space="0" w:color="000000"/>
            </w:tcBorders>
            <w:tcMar>
              <w:top w:w="0" w:type="dxa"/>
              <w:left w:w="0" w:type="dxa"/>
              <w:right w:w="0" w:type="dxa"/>
            </w:tcMar>
            <w:vAlign w:val="center"/>
          </w:tcPr>
          <w:p>
            <w:pPr>
              <w:pStyle w:val="TableContents"/>
              <w:bidi w:val="0"/>
              <w:spacing w:before="0" w:after="283"/>
              <w:ind w:left="0" w:right="0" w:firstLine="720"/>
              <w:jc w:val="both"/>
              <w:rPr/>
            </w:pPr>
            <w:r>
              <w:rPr/>
              <w:t> </w:t>
            </w:r>
          </w:p>
        </w:tc>
        <w:tc>
          <w:tcPr>
            <w:tcW w:w="8677" w:type="dxa"/>
            <w:tcBorders>
              <w:bottom w:val="single" w:sz="2" w:space="0" w:color="000000"/>
            </w:tcBorders>
            <w:tcMar>
              <w:top w:w="0" w:type="dxa"/>
              <w:left w:w="0" w:type="dxa"/>
              <w:right w:w="0" w:type="dxa"/>
            </w:tcMar>
            <w:vAlign w:val="center"/>
          </w:tcPr>
          <w:p>
            <w:pPr>
              <w:pStyle w:val="TableContents"/>
              <w:bidi w:val="0"/>
              <w:spacing w:before="0" w:after="283"/>
              <w:ind w:left="0" w:right="0" w:firstLine="720"/>
              <w:jc w:val="both"/>
              <w:rPr/>
            </w:pPr>
            <w:r>
              <w:rPr/>
              <w:t> </w:t>
            </w:r>
          </w:p>
        </w:tc>
      </w:tr>
      <w:tr>
        <w:trPr/>
        <w:tc>
          <w:tcPr>
            <w:tcW w:w="1528" w:type="dxa"/>
            <w:tcBorders>
              <w:left w:val="single" w:sz="2" w:space="0" w:color="000000"/>
              <w:bottom w:val="single" w:sz="2" w:space="0" w:color="000000"/>
              <w:right w:val="single" w:sz="6" w:space="0" w:color="000000"/>
            </w:tcBorders>
            <w:tcMar>
              <w:top w:w="0" w:type="dxa"/>
              <w:left w:w="108" w:type="dxa"/>
              <w:right w:w="108"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31.1</w:t>
            </w:r>
          </w:p>
        </w:tc>
        <w:tc>
          <w:tcPr>
            <w:tcW w:w="8677" w:type="dxa"/>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ind w:left="0" w:right="0" w:firstLine="720"/>
              <w:jc w:val="both"/>
              <w:rPr/>
            </w:pPr>
            <w:hyperlink w:anchor="pbhc-ex31_1.htm">
              <w:r>
                <w:rPr>
                  <w:rStyle w:val="InternetLink"/>
                  <w:rFonts w:ascii="Times New Roman" w:hAnsi="Times New Roman"/>
                  <w:color w:val="0000FF"/>
                  <w:sz w:val="20"/>
                  <w:u w:val="single"/>
                </w:rPr>
                <w:t>Rule 13a-14(a)/15d-14(a) Certification of the Chief Executive Officer</w:t>
              </w:r>
            </w:hyperlink>
          </w:p>
        </w:tc>
      </w:tr>
      <w:tr>
        <w:trPr/>
        <w:tc>
          <w:tcPr>
            <w:tcW w:w="1528"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31.2</w:t>
            </w:r>
          </w:p>
        </w:tc>
        <w:tc>
          <w:tcPr>
            <w:tcW w:w="8677" w:type="dxa"/>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ind w:left="0" w:right="0" w:firstLine="720"/>
              <w:jc w:val="both"/>
              <w:rPr/>
            </w:pPr>
            <w:hyperlink w:anchor="pbhc-ex31_2.htm">
              <w:r>
                <w:rPr>
                  <w:rStyle w:val="InternetLink"/>
                  <w:rFonts w:ascii="Times New Roman" w:hAnsi="Times New Roman"/>
                  <w:color w:val="0000FF"/>
                  <w:sz w:val="20"/>
                  <w:u w:val="single"/>
                </w:rPr>
                <w:t>Rule 13a-14(a)/15d-14(a) Certification of the Chief Financial Officer</w:t>
              </w:r>
            </w:hyperlink>
          </w:p>
        </w:tc>
      </w:tr>
      <w:tr>
        <w:trPr/>
        <w:tc>
          <w:tcPr>
            <w:tcW w:w="1528"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32</w:t>
            </w:r>
          </w:p>
        </w:tc>
        <w:tc>
          <w:tcPr>
            <w:tcW w:w="8677" w:type="dxa"/>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ind w:left="0" w:right="0" w:firstLine="720"/>
              <w:jc w:val="both"/>
              <w:rPr/>
            </w:pPr>
            <w:hyperlink w:anchor="pbhc-ex32.htm">
              <w:r>
                <w:rPr>
                  <w:rStyle w:val="InternetLink"/>
                  <w:rFonts w:ascii="Times New Roman" w:hAnsi="Times New Roman"/>
                  <w:color w:val="0000FF"/>
                  <w:sz w:val="20"/>
                  <w:u w:val="single"/>
                </w:rPr>
                <w:t>Section 1350 Certification of the Chief Executive Officer and Chief Financial Officer</w:t>
              </w:r>
            </w:hyperlink>
          </w:p>
        </w:tc>
      </w:tr>
      <w:tr>
        <w:trPr/>
        <w:tc>
          <w:tcPr>
            <w:tcW w:w="1528"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101</w:t>
            </w:r>
          </w:p>
        </w:tc>
        <w:tc>
          <w:tcPr>
            <w:tcW w:w="8677" w:type="dxa"/>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 </w:t>
            </w:r>
          </w:p>
        </w:tc>
      </w:tr>
      <w:tr>
        <w:trPr/>
        <w:tc>
          <w:tcPr>
            <w:tcW w:w="1528"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104</w:t>
            </w:r>
          </w:p>
        </w:tc>
        <w:tc>
          <w:tcPr>
            <w:tcW w:w="8677" w:type="dxa"/>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b/>
          <w:color w:val="000000"/>
          <w:sz w:val="22"/>
        </w:rPr>
      </w:pPr>
      <w:bookmarkStart w:id="22" w:name="signatures"/>
      <w:bookmarkEnd w:id="22"/>
      <w:r>
        <w:rPr>
          <w:rFonts w:ascii="Times New Roman" w:hAnsi="Times New Roman"/>
          <w:b/>
          <w:color w:val="000000"/>
          <w:sz w:val="22"/>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PATHFINDER BANCORP, INC.</w:t>
      </w:r>
    </w:p>
    <w:p>
      <w:pPr>
        <w:pStyle w:val="TextBody"/>
        <w:bidi w:val="0"/>
        <w:jc w:val="left"/>
        <w:rPr>
          <w:rFonts w:ascii="Times New Roman" w:hAnsi="Times New Roman"/>
          <w:color w:val="000000"/>
          <w:sz w:val="20"/>
        </w:rPr>
      </w:pPr>
      <w:r>
        <w:rPr>
          <w:rFonts w:ascii="Times New Roman" w:hAnsi="Times New Roman"/>
          <w:color w:val="000000"/>
          <w:sz w:val="20"/>
        </w:rPr>
        <w:t>(registrant)</w:t>
      </w:r>
    </w:p>
    <w:p>
      <w:pPr>
        <w:pStyle w:val="TextBody"/>
        <w:bidi w:val="0"/>
        <w:jc w:val="left"/>
        <w:rPr/>
      </w:pPr>
      <w:r>
        <w:rPr/>
        <w:t> </w:t>
      </w:r>
    </w:p>
    <w:tbl>
      <w:tblPr>
        <w:tblW w:w="5757" w:type="dxa"/>
        <w:jc w:val="left"/>
        <w:tblInd w:w="0" w:type="dxa"/>
        <w:tblLayout w:type="fixed"/>
        <w:tblCellMar>
          <w:top w:w="28" w:type="dxa"/>
          <w:left w:w="28" w:type="dxa"/>
          <w:bottom w:w="28" w:type="dxa"/>
          <w:right w:w="28" w:type="dxa"/>
        </w:tblCellMar>
      </w:tblPr>
      <w:tblGrid>
        <w:gridCol w:w="1471"/>
        <w:gridCol w:w="3959"/>
        <w:gridCol w:w="136"/>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395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13, 2026</w:t>
            </w:r>
          </w:p>
        </w:tc>
        <w:tc>
          <w:tcPr>
            <w:tcW w:w="3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A. Dowd</w:t>
            </w:r>
          </w:p>
        </w:tc>
        <w:tc>
          <w:tcPr>
            <w:tcW w:w="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A. Dowd</w:t>
            </w:r>
          </w:p>
        </w:tc>
        <w:tc>
          <w:tcPr>
            <w:tcW w:w="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95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13, 2026</w:t>
            </w:r>
          </w:p>
        </w:tc>
        <w:tc>
          <w:tcPr>
            <w:tcW w:w="4095" w:type="dxa"/>
            <w:gridSpan w:val="2"/>
            <w:tcBorders/>
            <w:tcMar>
              <w:top w:w="0" w:type="dxa"/>
              <w:left w:w="0" w:type="dxa"/>
              <w:bottom w:w="0" w:type="dxa"/>
              <w:right w:w="0" w:type="dxa"/>
            </w:tcMar>
            <w:vAlign w:val="center"/>
          </w:tcPr>
          <w:p>
            <w:pPr>
              <w:pStyle w:val="TableContents"/>
              <w:bidi w:val="0"/>
              <w:spacing w:before="0" w:after="283"/>
              <w:jc w:val="left"/>
              <w:rPr>
                <w:color w:val="000000"/>
                <w:u w:val="single"/>
              </w:rPr>
            </w:pPr>
            <w:r>
              <w:rPr>
                <w:color w:val="000000"/>
                <w:u w:val="single"/>
              </w:rPr>
              <w:t> </w:t>
            </w:r>
            <w:r>
              <w:rPr>
                <w:rFonts w:ascii="Times New Roman" w:hAnsi="Times New Roman"/>
                <w:color w:val="000000"/>
                <w:sz w:val="20"/>
                <w:u w:val="single"/>
              </w:rPr>
              <w:t>/s/ Justin K. Bigham</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K. Bigham</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 </w:t>
      </w:r>
      <w:r>
        <w:rPr>
          <w:rFonts w:ascii="Times New Roman" w:hAnsi="Times New Roman"/>
          <w:b/>
          <w:color w:val="000000"/>
          <w:sz w:val="20"/>
        </w:rPr>
        <w:t>64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3" w:name="pbhc-ex31_1.htm"/>
      <w:bookmarkStart w:id="24" w:name="kspbhcex31_1"/>
      <w:bookmarkEnd w:id="23"/>
      <w:bookmarkEnd w:id="24"/>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31.1: Rule 13a-14(a) / 15d-14(a) Certification of the Chief Executive Officer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James A. Dowd,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Quarterly Report on Form 10-Q of Pathfinder Bancorp,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4682" w:type="dxa"/>
        <w:jc w:val="left"/>
        <w:tblInd w:w="0" w:type="dxa"/>
        <w:tblLayout w:type="fixed"/>
        <w:tblCellMar>
          <w:top w:w="28" w:type="dxa"/>
          <w:left w:w="28" w:type="dxa"/>
          <w:bottom w:w="28" w:type="dxa"/>
          <w:right w:w="28" w:type="dxa"/>
        </w:tblCellMar>
      </w:tblPr>
      <w:tblGrid>
        <w:gridCol w:w="1471"/>
        <w:gridCol w:w="3211"/>
      </w:tblGrid>
      <w:tr>
        <w:trPr/>
        <w:tc>
          <w:tcPr>
            <w:tcW w:w="147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13, 2026</w:t>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u w:val="single"/>
              </w:rPr>
            </w:pPr>
            <w:r>
              <w:rPr>
                <w:rFonts w:ascii="Times New Roman" w:hAnsi="Times New Roman"/>
                <w:color w:val="000000"/>
                <w:sz w:val="20"/>
                <w:u w:val="single"/>
              </w:rPr>
              <w:t>/s/ James A. Dowd</w:t>
            </w:r>
          </w:p>
          <w:p>
            <w:pPr>
              <w:pStyle w:val="TableContents"/>
              <w:bidi w:val="0"/>
              <w:jc w:val="both"/>
              <w:rPr>
                <w:rFonts w:ascii="Times New Roman" w:hAnsi="Times New Roman"/>
                <w:color w:val="000000"/>
                <w:sz w:val="20"/>
              </w:rPr>
            </w:pPr>
            <w:r>
              <w:rPr>
                <w:rFonts w:ascii="Times New Roman" w:hAnsi="Times New Roman"/>
                <w:color w:val="000000"/>
                <w:sz w:val="20"/>
              </w:rPr>
              <w:t>James A. Dowd</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bhc-ex31_2.htm"/>
      <w:bookmarkStart w:id="26" w:name="kspbhcex31_2"/>
      <w:bookmarkEnd w:id="25"/>
      <w:bookmarkEnd w:id="26"/>
      <w:r>
        <w:rPr/>
        <w:t> </w:t>
      </w:r>
      <w:r>
        <w:br w:type="page"/>
      </w:r>
    </w:p>
    <w:p>
      <w:pPr>
        <w:pStyle w:val="TextBody"/>
        <w:bidi w:val="0"/>
        <w:jc w:val="both"/>
        <w:rPr>
          <w:rFonts w:ascii="Times New Roman" w:hAnsi="Times New Roman"/>
          <w:b/>
          <w:color w:val="000000"/>
          <w:sz w:val="20"/>
        </w:rPr>
      </w:pPr>
      <w:r>
        <w:rPr>
          <w:rFonts w:ascii="Times New Roman" w:hAnsi="Times New Roman"/>
          <w:b/>
          <w:color w:val="000000"/>
          <w:sz w:val="20"/>
        </w:rPr>
        <w:t>EXHIBIT 31.2: Rule 13a-14(a) / 15d-14(a) Certification of the Chief Financial Officer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Justin K. Bigham,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Quarterly Report on Form 10-Q of Pathfinder Bancorp,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left"/>
        <w:rPr/>
      </w:pPr>
      <w:r>
        <w:rPr/>
        <w:t> </w:t>
      </w:r>
    </w:p>
    <w:tbl>
      <w:tblPr>
        <w:tblW w:w="5657" w:type="dxa"/>
        <w:jc w:val="left"/>
        <w:tblInd w:w="0" w:type="dxa"/>
        <w:tblLayout w:type="fixed"/>
        <w:tblCellMar>
          <w:top w:w="28" w:type="dxa"/>
          <w:left w:w="28" w:type="dxa"/>
          <w:bottom w:w="28" w:type="dxa"/>
          <w:right w:w="28" w:type="dxa"/>
        </w:tblCellMar>
      </w:tblPr>
      <w:tblGrid>
        <w:gridCol w:w="1471"/>
        <w:gridCol w:w="4186"/>
      </w:tblGrid>
      <w:tr>
        <w:trPr/>
        <w:tc>
          <w:tcPr>
            <w:tcW w:w="147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August 13, 2026</w:t>
            </w:r>
          </w:p>
        </w:tc>
        <w:tc>
          <w:tcPr>
            <w:tcW w:w="418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u w:val="single"/>
              </w:rPr>
            </w:pPr>
            <w:r>
              <w:rPr>
                <w:rFonts w:ascii="Times New Roman" w:hAnsi="Times New Roman"/>
                <w:color w:val="000000"/>
                <w:sz w:val="20"/>
                <w:u w:val="single"/>
              </w:rPr>
              <w:t>/s/ Justin K. Bigham</w:t>
            </w:r>
          </w:p>
          <w:p>
            <w:pPr>
              <w:pStyle w:val="TableContents"/>
              <w:bidi w:val="0"/>
              <w:jc w:val="both"/>
              <w:rPr>
                <w:rFonts w:ascii="Times New Roman" w:hAnsi="Times New Roman"/>
                <w:color w:val="000000"/>
                <w:sz w:val="20"/>
              </w:rPr>
            </w:pPr>
            <w:r>
              <w:rPr>
                <w:rFonts w:ascii="Times New Roman" w:hAnsi="Times New Roman"/>
                <w:color w:val="000000"/>
                <w:sz w:val="20"/>
              </w:rPr>
              <w:t>Justin K. Bigham</w:t>
            </w:r>
          </w:p>
          <w:p>
            <w:pPr>
              <w:pStyle w:val="TableContents"/>
              <w:bidi w:val="0"/>
              <w:jc w:val="both"/>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bhc-ex32.htm"/>
      <w:bookmarkStart w:id="28" w:name="kspbhcex32"/>
      <w:bookmarkEnd w:id="27"/>
      <w:bookmarkEnd w:id="28"/>
      <w:r>
        <w:rPr/>
        <w:t> </w:t>
      </w:r>
      <w:r>
        <w:br w:type="page"/>
      </w:r>
    </w:p>
    <w:p>
      <w:pPr>
        <w:pStyle w:val="TextBody"/>
        <w:bidi w:val="0"/>
        <w:jc w:val="both"/>
        <w:rPr>
          <w:rFonts w:ascii="Times New Roman" w:hAnsi="Times New Roman"/>
          <w:b/>
          <w:color w:val="000000"/>
          <w:sz w:val="20"/>
        </w:rPr>
      </w:pPr>
      <w:r>
        <w:rPr>
          <w:rFonts w:ascii="Times New Roman" w:hAnsi="Times New Roman"/>
          <w:b/>
          <w:color w:val="000000"/>
          <w:sz w:val="20"/>
        </w:rPr>
        <w:t>EXHIBIT 32 Section 1350 Certification of the Chief Executive Officer and Chief Financial Officer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Certification pursuant to 18 U.S.C. §1350, as adopted pursuant to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Pathfinder Bancorp, Inc. (the “Company”) on Form 10-Q for the period ended June 30, 2026 as filed with the Securities and Exchange Commission (the “Report”), the undersigned hereby certify, pursuant to 18 U.S.C. §1350, as adopted pursuant to §906 of the Sarbanes-Oxley Act of 2002,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Sections 13(a) or 15(d) of the Securities Exchange Act of 1934;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 covered by the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purpose of this statement is solely to comply with Title 18, Chapter 63, Section 1350 of the United States Code, as amended by Section 906 of the Sarbanes-Oxley Act of 2002.</w:t>
      </w:r>
    </w:p>
    <w:p>
      <w:pPr>
        <w:pStyle w:val="TextBody"/>
        <w:bidi w:val="0"/>
        <w:jc w:val="both"/>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1831"/>
        <w:gridCol w:w="4141"/>
      </w:tblGrid>
      <w:tr>
        <w:trPr/>
        <w:tc>
          <w:tcPr>
            <w:tcW w:w="183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0"/>
                <w:u w:val="single"/>
              </w:rPr>
            </w:pPr>
            <w:r>
              <w:rPr>
                <w:rFonts w:ascii="Times New Roman" w:hAnsi="Times New Roman"/>
                <w:color w:val="000000"/>
                <w:sz w:val="20"/>
                <w:u w:val="single"/>
              </w:rPr>
              <w:t>August 13, 2026</w:t>
            </w:r>
          </w:p>
        </w:tc>
        <w:tc>
          <w:tcPr>
            <w:tcW w:w="414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u w:val="single"/>
              </w:rPr>
            </w:pPr>
            <w:r>
              <w:rPr>
                <w:rFonts w:ascii="Times New Roman" w:hAnsi="Times New Roman"/>
                <w:color w:val="000000"/>
                <w:sz w:val="20"/>
                <w:u w:val="single"/>
              </w:rPr>
              <w:t>/s/ James A. Dowd</w:t>
            </w:r>
          </w:p>
          <w:p>
            <w:pPr>
              <w:pStyle w:val="TableContents"/>
              <w:bidi w:val="0"/>
              <w:jc w:val="both"/>
              <w:rPr>
                <w:rFonts w:ascii="Times New Roman" w:hAnsi="Times New Roman"/>
                <w:color w:val="000000"/>
                <w:sz w:val="20"/>
              </w:rPr>
            </w:pPr>
            <w:r>
              <w:rPr>
                <w:rFonts w:ascii="Times New Roman" w:hAnsi="Times New Roman"/>
                <w:color w:val="000000"/>
                <w:sz w:val="20"/>
              </w:rPr>
              <w:t>James A. Dowd</w:t>
            </w:r>
          </w:p>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ind w:left="0" w:right="0" w:firstLine="360"/>
              <w:jc w:val="both"/>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0"/>
                <w:u w:val="single"/>
              </w:rPr>
            </w:pPr>
            <w:r>
              <w:rPr>
                <w:rFonts w:ascii="Times New Roman" w:hAnsi="Times New Roman"/>
                <w:color w:val="000000"/>
                <w:sz w:val="20"/>
                <w:u w:val="single"/>
              </w:rPr>
              <w:t>August 13, 2026</w:t>
            </w:r>
          </w:p>
        </w:tc>
        <w:tc>
          <w:tcPr>
            <w:tcW w:w="414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u w:val="single"/>
              </w:rPr>
            </w:pPr>
            <w:r>
              <w:rPr>
                <w:rFonts w:ascii="Times New Roman" w:hAnsi="Times New Roman"/>
                <w:color w:val="000000"/>
                <w:sz w:val="20"/>
                <w:u w:val="single"/>
              </w:rPr>
              <w:t>/s/ Justin K. Bigham</w:t>
            </w:r>
          </w:p>
          <w:p>
            <w:pPr>
              <w:pStyle w:val="TableContents"/>
              <w:bidi w:val="0"/>
              <w:jc w:val="both"/>
              <w:rPr>
                <w:rFonts w:ascii="Times New Roman" w:hAnsi="Times New Roman"/>
                <w:color w:val="000000"/>
                <w:sz w:val="20"/>
              </w:rPr>
            </w:pPr>
            <w:r>
              <w:rPr>
                <w:rFonts w:ascii="Times New Roman" w:hAnsi="Times New Roman"/>
                <w:color w:val="000000"/>
                <w:sz w:val="20"/>
              </w:rPr>
              <w:t>Justin K. Bigham</w:t>
            </w:r>
          </w:p>
          <w:p>
            <w:pPr>
              <w:pStyle w:val="TableContents"/>
              <w:bidi w:val="0"/>
              <w:jc w:val="both"/>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34764</Words>
  <Characters>180607</Characters>
  <CharactersWithSpaces>223350</CharactersWithSpaces>
  <Paragraphs>24739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